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982081D" w:rsidR="00CD4C7B" w:rsidRPr="00C639BE" w:rsidRDefault="003A41EF" w:rsidP="00CD4C7B">
      <w:pPr>
        <w:pStyle w:val="Header"/>
        <w:tabs>
          <w:tab w:val="right" w:pos="9639"/>
        </w:tabs>
        <w:rPr>
          <w:rFonts w:cs="Arial"/>
          <w:bCs/>
          <w:i/>
          <w:noProof w:val="0"/>
          <w:sz w:val="24"/>
          <w:szCs w:val="24"/>
        </w:rPr>
      </w:pPr>
      <w:r w:rsidRPr="00C639BE">
        <w:rPr>
          <w:rFonts w:cs="Arial"/>
          <w:bCs/>
          <w:noProof w:val="0"/>
          <w:sz w:val="24"/>
          <w:szCs w:val="24"/>
        </w:rPr>
        <w:t xml:space="preserve">3GPP TSG-RAN WG2 Meeting </w:t>
      </w:r>
      <w:r w:rsidR="00F941DF" w:rsidRPr="00C639BE">
        <w:rPr>
          <w:rFonts w:cs="Arial"/>
          <w:bCs/>
          <w:noProof w:val="0"/>
          <w:sz w:val="24"/>
          <w:szCs w:val="24"/>
        </w:rPr>
        <w:t>#</w:t>
      </w:r>
      <w:r w:rsidR="00B706CD" w:rsidRPr="00C639BE">
        <w:rPr>
          <w:rFonts w:cs="Arial"/>
          <w:bCs/>
          <w:noProof w:val="0"/>
          <w:sz w:val="24"/>
          <w:szCs w:val="24"/>
        </w:rPr>
        <w:t>10</w:t>
      </w:r>
      <w:r w:rsidR="00FA66E4">
        <w:rPr>
          <w:rFonts w:cs="Arial"/>
          <w:bCs/>
          <w:noProof w:val="0"/>
          <w:sz w:val="24"/>
          <w:szCs w:val="24"/>
        </w:rPr>
        <w:t>7</w:t>
      </w:r>
      <w:r w:rsidR="006D56A2">
        <w:rPr>
          <w:rFonts w:cs="Arial"/>
          <w:bCs/>
          <w:noProof w:val="0"/>
          <w:sz w:val="24"/>
          <w:szCs w:val="24"/>
        </w:rPr>
        <w:t>bis</w:t>
      </w:r>
      <w:r w:rsidR="00CD4C7B" w:rsidRPr="00C639BE">
        <w:rPr>
          <w:rFonts w:cs="Arial"/>
          <w:bCs/>
          <w:noProof w:val="0"/>
          <w:sz w:val="24"/>
          <w:szCs w:val="24"/>
        </w:rPr>
        <w:tab/>
      </w:r>
      <w:r w:rsidR="007A0D32" w:rsidRPr="00082C05">
        <w:rPr>
          <w:rFonts w:cs="Arial"/>
          <w:bCs/>
          <w:i/>
          <w:noProof w:val="0"/>
          <w:sz w:val="24"/>
          <w:szCs w:val="24"/>
        </w:rPr>
        <w:t>R2-</w:t>
      </w:r>
      <w:r w:rsidR="00082C05" w:rsidRPr="00082C05">
        <w:rPr>
          <w:i/>
        </w:rPr>
        <w:t xml:space="preserve"> </w:t>
      </w:r>
      <w:r w:rsidR="00082C05" w:rsidRPr="00082C05">
        <w:rPr>
          <w:rFonts w:cs="Arial"/>
          <w:bCs/>
          <w:i/>
          <w:noProof w:val="0"/>
          <w:sz w:val="24"/>
          <w:szCs w:val="24"/>
        </w:rPr>
        <w:t>1913905</w:t>
      </w:r>
    </w:p>
    <w:p w14:paraId="231362B2" w14:textId="6368F2F2" w:rsidR="00CD4C7B" w:rsidRPr="00C639BE" w:rsidRDefault="006D56A2" w:rsidP="00CD4C7B">
      <w:pPr>
        <w:pStyle w:val="Header"/>
        <w:tabs>
          <w:tab w:val="right" w:pos="9639"/>
        </w:tabs>
        <w:rPr>
          <w:rFonts w:cs="Arial"/>
          <w:bCs/>
          <w:noProof w:val="0"/>
          <w:sz w:val="24"/>
          <w:szCs w:val="24"/>
        </w:rPr>
      </w:pPr>
      <w:r>
        <w:rPr>
          <w:rFonts w:eastAsia="SimSun" w:cs="Arial"/>
          <w:noProof w:val="0"/>
          <w:sz w:val="24"/>
          <w:szCs w:val="24"/>
          <w:lang w:eastAsia="zh-CN"/>
        </w:rPr>
        <w:t>Chongqing</w:t>
      </w:r>
      <w:r w:rsidR="00482723" w:rsidRPr="00C639BE">
        <w:rPr>
          <w:rFonts w:eastAsia="SimSun" w:cs="Arial"/>
          <w:noProof w:val="0"/>
          <w:sz w:val="24"/>
          <w:szCs w:val="24"/>
          <w:lang w:eastAsia="zh-CN"/>
        </w:rPr>
        <w:t xml:space="preserve">, </w:t>
      </w:r>
      <w:r w:rsidR="00FA66E4">
        <w:rPr>
          <w:rFonts w:eastAsia="SimSun" w:cs="Arial"/>
          <w:noProof w:val="0"/>
          <w:sz w:val="24"/>
          <w:szCs w:val="24"/>
          <w:lang w:eastAsia="zh-CN"/>
        </w:rPr>
        <w:t>C</w:t>
      </w:r>
      <w:r>
        <w:rPr>
          <w:rFonts w:eastAsia="SimSun" w:cs="Arial"/>
          <w:noProof w:val="0"/>
          <w:sz w:val="24"/>
          <w:szCs w:val="24"/>
          <w:lang w:eastAsia="zh-CN"/>
        </w:rPr>
        <w:t>hina</w:t>
      </w:r>
      <w:r w:rsidR="00482723">
        <w:rPr>
          <w:rFonts w:eastAsia="SimSun" w:cs="Arial"/>
          <w:noProof w:val="0"/>
          <w:sz w:val="24"/>
          <w:szCs w:val="24"/>
          <w:lang w:eastAsia="zh-CN"/>
        </w:rPr>
        <w:t xml:space="preserve">, </w:t>
      </w:r>
      <w:r>
        <w:rPr>
          <w:rFonts w:eastAsia="SimSun" w:cs="Arial"/>
          <w:noProof w:val="0"/>
          <w:sz w:val="24"/>
          <w:szCs w:val="24"/>
          <w:lang w:eastAsia="zh-CN"/>
        </w:rPr>
        <w:t>14</w:t>
      </w:r>
      <w:r w:rsidR="00482723" w:rsidRPr="00C639BE">
        <w:rPr>
          <w:rFonts w:eastAsia="SimSun" w:cs="Arial"/>
          <w:noProof w:val="0"/>
          <w:sz w:val="24"/>
          <w:szCs w:val="24"/>
          <w:lang w:eastAsia="zh-CN"/>
        </w:rPr>
        <w:t xml:space="preserve"> – </w:t>
      </w:r>
      <w:r>
        <w:rPr>
          <w:rFonts w:eastAsia="SimSun" w:cs="Arial"/>
          <w:noProof w:val="0"/>
          <w:sz w:val="24"/>
          <w:szCs w:val="24"/>
          <w:lang w:eastAsia="zh-CN"/>
        </w:rPr>
        <w:t>18</w:t>
      </w:r>
      <w:r w:rsidR="00482723" w:rsidRPr="00C639BE">
        <w:rPr>
          <w:rFonts w:eastAsia="SimSun" w:cs="Arial"/>
          <w:noProof w:val="0"/>
          <w:sz w:val="24"/>
          <w:szCs w:val="24"/>
          <w:lang w:eastAsia="zh-CN"/>
        </w:rPr>
        <w:t xml:space="preserve"> </w:t>
      </w:r>
      <w:r>
        <w:rPr>
          <w:rFonts w:eastAsia="SimSun" w:cs="Arial"/>
          <w:noProof w:val="0"/>
          <w:sz w:val="24"/>
          <w:szCs w:val="24"/>
          <w:lang w:eastAsia="zh-CN"/>
        </w:rPr>
        <w:t>Sept</w:t>
      </w:r>
      <w:r w:rsidR="00482723">
        <w:rPr>
          <w:rFonts w:eastAsia="SimSun" w:cs="Arial"/>
          <w:noProof w:val="0"/>
          <w:sz w:val="24"/>
          <w:szCs w:val="24"/>
          <w:lang w:eastAsia="zh-CN"/>
        </w:rPr>
        <w:t xml:space="preserve"> </w:t>
      </w:r>
      <w:r w:rsidR="00482723" w:rsidRPr="00C639BE">
        <w:rPr>
          <w:rFonts w:eastAsia="SimSun" w:cs="Arial"/>
          <w:noProof w:val="0"/>
          <w:sz w:val="24"/>
          <w:szCs w:val="24"/>
          <w:lang w:eastAsia="zh-CN"/>
        </w:rPr>
        <w:t>2019</w:t>
      </w:r>
      <w:r w:rsidR="00364B41" w:rsidRPr="00C639BE">
        <w:rPr>
          <w:rFonts w:eastAsia="SimSun" w:cs="Arial"/>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180D090E"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082C05">
        <w:rPr>
          <w:rFonts w:cs="Arial"/>
          <w:b/>
          <w:bCs/>
          <w:sz w:val="24"/>
          <w:szCs w:val="24"/>
          <w:lang w:eastAsia="ja-JP"/>
        </w:rPr>
        <w:t>6</w:t>
      </w:r>
      <w:r w:rsidR="00237FF5" w:rsidRPr="00C639BE">
        <w:rPr>
          <w:rFonts w:cs="Arial"/>
          <w:b/>
          <w:bCs/>
          <w:sz w:val="24"/>
          <w:szCs w:val="24"/>
          <w:lang w:eastAsia="ja-JP"/>
        </w:rPr>
        <w:t>.9.3</w:t>
      </w:r>
      <w:r w:rsidR="006D56A2">
        <w:rPr>
          <w:rFonts w:cs="Arial"/>
          <w:b/>
          <w:bCs/>
          <w:sz w:val="24"/>
          <w:szCs w:val="24"/>
          <w:lang w:eastAsia="ja-JP"/>
        </w:rPr>
        <w:t>.</w:t>
      </w:r>
      <w:r w:rsidR="00082C05">
        <w:rPr>
          <w:rFonts w:cs="Arial"/>
          <w:b/>
          <w:bCs/>
          <w:sz w:val="24"/>
          <w:szCs w:val="24"/>
          <w:lang w:eastAsia="ja-JP"/>
        </w:rPr>
        <w:t>4</w:t>
      </w:r>
    </w:p>
    <w:p w14:paraId="6A1BC0C1" w14:textId="7D52DCB0" w:rsidR="00CD4C7B" w:rsidRPr="00C31EFB" w:rsidRDefault="00CD4C7B" w:rsidP="00CD4C7B">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p>
    <w:p w14:paraId="45BE90BE" w14:textId="5581FCFD"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71730A" w:rsidRPr="0071730A">
        <w:rPr>
          <w:rFonts w:ascii="Arial" w:hAnsi="Arial" w:cs="Arial"/>
          <w:b/>
          <w:bCs/>
          <w:sz w:val="24"/>
        </w:rPr>
        <w:t xml:space="preserve">Discussion on </w:t>
      </w:r>
      <w:r w:rsidR="006D56A2">
        <w:rPr>
          <w:rFonts w:ascii="Arial" w:hAnsi="Arial" w:cs="Arial"/>
          <w:b/>
          <w:bCs/>
          <w:sz w:val="24"/>
        </w:rPr>
        <w:t>Remaining issues related to T312</w:t>
      </w:r>
    </w:p>
    <w:p w14:paraId="3AC3A0B1" w14:textId="7D548D69"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7B55D5" w:rsidRPr="00C639BE">
        <w:rPr>
          <w:rFonts w:ascii="Arial" w:hAnsi="Arial" w:cs="Arial"/>
          <w:b/>
          <w:bCs/>
          <w:sz w:val="24"/>
        </w:rPr>
        <w:t>NR_Mob_Enh - Release 16</w:t>
      </w:r>
      <w:bookmarkStart w:id="0" w:name="_GoBack"/>
      <w:bookmarkEnd w:id="0"/>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2DB249E4" w:rsidR="001070D6" w:rsidRPr="00B43B65" w:rsidRDefault="00B91A33" w:rsidP="00CD4C7B">
      <w:pPr>
        <w:rPr>
          <w:sz w:val="22"/>
          <w:lang w:eastAsia="ko-KR"/>
        </w:rPr>
      </w:pPr>
      <w:r w:rsidRPr="00B43B65">
        <w:rPr>
          <w:sz w:val="22"/>
          <w:lang w:eastAsia="ko-KR"/>
        </w:rPr>
        <w:t>RAN#80 plenary approved a Work Item (WI) titled “</w:t>
      </w:r>
      <w:r w:rsidR="00461F90" w:rsidRPr="00B43B65">
        <w:rPr>
          <w:sz w:val="22"/>
          <w:lang w:eastAsia="ko-KR"/>
        </w:rPr>
        <w:t>NR mobility enhancements</w:t>
      </w:r>
      <w:r w:rsidRPr="00B43B65">
        <w:rPr>
          <w:sz w:val="22"/>
          <w:lang w:eastAsia="ko-KR"/>
        </w:rPr>
        <w:t>”</w:t>
      </w:r>
      <w:r w:rsidR="00197620" w:rsidRPr="00B43B65">
        <w:rPr>
          <w:sz w:val="22"/>
          <w:lang w:eastAsia="ko-KR"/>
        </w:rPr>
        <w:t xml:space="preserve"> to </w:t>
      </w:r>
      <w:r w:rsidR="008E4E9B" w:rsidRPr="00B43B65">
        <w:rPr>
          <w:sz w:val="22"/>
          <w:lang w:eastAsia="ko-KR"/>
        </w:rPr>
        <w:t xml:space="preserve">enhance the basic </w:t>
      </w:r>
      <w:r w:rsidR="00197620" w:rsidRPr="00B43B65">
        <w:rPr>
          <w:sz w:val="22"/>
          <w:lang w:eastAsia="ko-KR"/>
        </w:rPr>
        <w:t xml:space="preserve">mobility </w:t>
      </w:r>
      <w:r w:rsidR="008E4E9B" w:rsidRPr="00B43B65">
        <w:rPr>
          <w:sz w:val="22"/>
          <w:lang w:eastAsia="ko-KR"/>
        </w:rPr>
        <w:t xml:space="preserve">functions </w:t>
      </w:r>
      <w:r w:rsidR="00806BCC" w:rsidRPr="00B43B65">
        <w:rPr>
          <w:sz w:val="22"/>
          <w:lang w:eastAsia="ko-KR"/>
        </w:rPr>
        <w:t>available</w:t>
      </w:r>
      <w:r w:rsidR="008E4E9B" w:rsidRPr="00B43B65">
        <w:rPr>
          <w:sz w:val="22"/>
          <w:lang w:eastAsia="ko-KR"/>
        </w:rPr>
        <w:t xml:space="preserve"> in NR </w:t>
      </w:r>
      <w:r w:rsidR="00237FF5" w:rsidRPr="00B43B65">
        <w:rPr>
          <w:sz w:val="22"/>
          <w:lang w:eastAsia="ko-KR"/>
        </w:rPr>
        <w:t>R</w:t>
      </w:r>
      <w:r w:rsidR="008E4E9B" w:rsidRPr="00B43B65">
        <w:rPr>
          <w:sz w:val="22"/>
          <w:lang w:eastAsia="ko-KR"/>
        </w:rPr>
        <w:t>elease</w:t>
      </w:r>
      <w:r w:rsidR="00237FF5" w:rsidRPr="00B43B65">
        <w:rPr>
          <w:sz w:val="22"/>
          <w:lang w:eastAsia="ko-KR"/>
        </w:rPr>
        <w:t xml:space="preserve"> </w:t>
      </w:r>
      <w:r w:rsidR="008E4E9B" w:rsidRPr="00B43B65">
        <w:rPr>
          <w:sz w:val="22"/>
          <w:lang w:eastAsia="ko-KR"/>
        </w:rPr>
        <w:t>15</w:t>
      </w:r>
      <w:r w:rsidR="00806BCC" w:rsidRPr="00B43B65">
        <w:rPr>
          <w:sz w:val="22"/>
          <w:lang w:eastAsia="ko-KR"/>
        </w:rPr>
        <w:t>[1]</w:t>
      </w:r>
      <w:r w:rsidR="00197620" w:rsidRPr="00B43B65">
        <w:rPr>
          <w:sz w:val="22"/>
          <w:lang w:eastAsia="ko-KR"/>
        </w:rPr>
        <w:t xml:space="preserve">. </w:t>
      </w:r>
      <w:r w:rsidR="009B5D9A" w:rsidRPr="00B43B65">
        <w:rPr>
          <w:sz w:val="22"/>
          <w:lang w:eastAsia="ko-KR"/>
        </w:rPr>
        <w:t xml:space="preserve">It has been agreed to define conditional handover mechanism to improve mobility robustness. The following </w:t>
      </w:r>
      <w:r w:rsidR="00FE1533" w:rsidRPr="00B43B65">
        <w:rPr>
          <w:sz w:val="22"/>
          <w:lang w:eastAsia="ko-KR"/>
        </w:rPr>
        <w:t>was agreed during RAN2 #107 meeting</w:t>
      </w:r>
    </w:p>
    <w:tbl>
      <w:tblPr>
        <w:tblStyle w:val="TableGrid"/>
        <w:tblW w:w="0" w:type="auto"/>
        <w:tblLook w:val="04A0" w:firstRow="1" w:lastRow="0" w:firstColumn="1" w:lastColumn="0" w:noHBand="0" w:noVBand="1"/>
      </w:tblPr>
      <w:tblGrid>
        <w:gridCol w:w="9631"/>
      </w:tblGrid>
      <w:tr w:rsidR="00806BCC" w:rsidRPr="00B43B65" w14:paraId="365E07B7" w14:textId="77777777" w:rsidTr="00806BCC">
        <w:tc>
          <w:tcPr>
            <w:tcW w:w="9631" w:type="dxa"/>
          </w:tcPr>
          <w:p w14:paraId="1CBDE22B" w14:textId="77777777" w:rsidR="00FE1533" w:rsidRPr="00B43B65" w:rsidRDefault="00FE1533" w:rsidP="00B43B65">
            <w:pPr>
              <w:rPr>
                <w:sz w:val="22"/>
                <w:lang w:eastAsia="ko-KR"/>
              </w:rPr>
            </w:pPr>
            <w:r w:rsidRPr="00B43B65">
              <w:rPr>
                <w:sz w:val="22"/>
                <w:lang w:eastAsia="ko-KR"/>
              </w:rPr>
              <w:t>Agreements</w:t>
            </w:r>
          </w:p>
          <w:p w14:paraId="3B9A52CE" w14:textId="127D646B" w:rsidR="00FE1533" w:rsidRPr="00B43B65" w:rsidRDefault="00FE1533" w:rsidP="00B43B65">
            <w:pPr>
              <w:rPr>
                <w:sz w:val="22"/>
                <w:lang w:eastAsia="ko-KR"/>
              </w:rPr>
            </w:pPr>
            <w:r w:rsidRPr="00B43B65">
              <w:rPr>
                <w:sz w:val="22"/>
                <w:lang w:eastAsia="ko-KR"/>
              </w:rPr>
              <w:t>1</w:t>
            </w:r>
            <w:r w:rsidRPr="00B43B65">
              <w:rPr>
                <w:sz w:val="22"/>
                <w:lang w:eastAsia="ko-KR"/>
              </w:rPr>
              <w:tab/>
              <w:t>Support T312 mechanism (similar to LTE). At least applicable for PCell</w:t>
            </w:r>
          </w:p>
          <w:p w14:paraId="5590FD9B" w14:textId="2A6771BE" w:rsidR="00806BCC" w:rsidRPr="00B43B65" w:rsidRDefault="00FE1533" w:rsidP="00B43B65">
            <w:pPr>
              <w:rPr>
                <w:sz w:val="22"/>
                <w:lang w:eastAsia="ko-KR"/>
              </w:rPr>
            </w:pPr>
            <w:r w:rsidRPr="00B43B65">
              <w:rPr>
                <w:sz w:val="22"/>
                <w:lang w:eastAsia="ko-KR"/>
              </w:rPr>
              <w:t>FFS Whether this is applicable for PSCell.</w:t>
            </w:r>
          </w:p>
        </w:tc>
      </w:tr>
    </w:tbl>
    <w:p w14:paraId="00750FA7" w14:textId="77777777" w:rsidR="00253724" w:rsidRDefault="00253724" w:rsidP="00C1497E">
      <w:pPr>
        <w:rPr>
          <w:sz w:val="22"/>
          <w:lang w:eastAsia="ko-KR"/>
        </w:rPr>
      </w:pPr>
    </w:p>
    <w:p w14:paraId="0BBDFC0A" w14:textId="27C6609C" w:rsidR="00CD4C7B" w:rsidRPr="00B43B65" w:rsidRDefault="00C639BE" w:rsidP="00C1497E">
      <w:pPr>
        <w:rPr>
          <w:sz w:val="22"/>
          <w:lang w:eastAsia="ko-KR"/>
        </w:rPr>
      </w:pPr>
      <w:r w:rsidRPr="00B43B65">
        <w:rPr>
          <w:sz w:val="22"/>
          <w:lang w:eastAsia="ko-KR"/>
        </w:rPr>
        <w:t xml:space="preserve">In this paper, we </w:t>
      </w:r>
      <w:r w:rsidR="00FE1533" w:rsidRPr="00B43B65">
        <w:rPr>
          <w:sz w:val="22"/>
          <w:lang w:eastAsia="ko-KR"/>
        </w:rPr>
        <w:t>address</w:t>
      </w:r>
      <w:r w:rsidR="00193E0C" w:rsidRPr="00B43B65">
        <w:rPr>
          <w:sz w:val="22"/>
          <w:lang w:eastAsia="ko-KR"/>
        </w:rPr>
        <w:t xml:space="preserve"> the</w:t>
      </w:r>
      <w:r w:rsidR="00FE1533" w:rsidRPr="00B43B65">
        <w:rPr>
          <w:sz w:val="22"/>
          <w:lang w:eastAsia="ko-KR"/>
        </w:rPr>
        <w:t xml:space="preserve"> remaining issues related to implementation of timer</w:t>
      </w:r>
      <w:r w:rsidR="00193E0C" w:rsidRPr="00B43B65">
        <w:rPr>
          <w:sz w:val="22"/>
          <w:lang w:eastAsia="ko-KR"/>
        </w:rPr>
        <w:t xml:space="preserve"> </w:t>
      </w:r>
      <w:r w:rsidR="00FE1533" w:rsidRPr="00B43B65">
        <w:rPr>
          <w:sz w:val="22"/>
          <w:lang w:eastAsia="ko-KR"/>
        </w:rPr>
        <w:t>T312 on PCell</w:t>
      </w:r>
      <w:r w:rsidR="00D916EA" w:rsidRPr="00B43B65">
        <w:rPr>
          <w:sz w:val="22"/>
          <w:lang w:eastAsia="ko-KR"/>
        </w:rPr>
        <w:t xml:space="preserve">. Further we take an objective look at the benefit of applying T312 on PSCell. </w:t>
      </w:r>
      <w:r w:rsidR="00FE1533" w:rsidRPr="00B43B65">
        <w:rPr>
          <w:sz w:val="22"/>
          <w:lang w:eastAsia="ko-KR"/>
        </w:rPr>
        <w:t xml:space="preserve"> </w:t>
      </w:r>
    </w:p>
    <w:p w14:paraId="288E09DA" w14:textId="7217D08D" w:rsidR="00327D0A" w:rsidRPr="00327D0A" w:rsidRDefault="00CD4C7B" w:rsidP="00327D0A">
      <w:pPr>
        <w:pStyle w:val="Heading1"/>
        <w:rPr>
          <w:rFonts w:cs="Arial"/>
        </w:rPr>
      </w:pPr>
      <w:r w:rsidRPr="00C639BE">
        <w:rPr>
          <w:rFonts w:cs="Arial"/>
        </w:rPr>
        <w:t>2</w:t>
      </w:r>
      <w:r w:rsidRPr="00C639BE">
        <w:rPr>
          <w:rFonts w:cs="Arial"/>
        </w:rPr>
        <w:tab/>
      </w:r>
      <w:r w:rsidR="00C639BE">
        <w:rPr>
          <w:rFonts w:cs="Arial"/>
        </w:rPr>
        <w:t>Discussion</w:t>
      </w:r>
    </w:p>
    <w:p w14:paraId="419F143A" w14:textId="77777777" w:rsidR="00327D0A" w:rsidRDefault="00054BDA" w:rsidP="00327D0A">
      <w:r w:rsidRPr="00B43B65">
        <w:rPr>
          <w:sz w:val="22"/>
          <w:lang w:eastAsia="ko-KR"/>
        </w:rPr>
        <w:t xml:space="preserve">In order to support better user experience and reduced service interruption, T312 based fast radio link failure mechanism was introduced in LTE. </w:t>
      </w:r>
      <w:r w:rsidR="00327D0A" w:rsidRPr="00B43B65">
        <w:rPr>
          <w:sz w:val="22"/>
          <w:lang w:eastAsia="ko-KR"/>
        </w:rPr>
        <w:t>During RAN #107 meeting, i</w:t>
      </w:r>
      <w:r w:rsidR="00360111" w:rsidRPr="00B43B65">
        <w:rPr>
          <w:sz w:val="22"/>
          <w:lang w:eastAsia="ko-KR"/>
        </w:rPr>
        <w:t xml:space="preserve">t has also been agreed that NR will support T312 based mechanism as a fast handover recovery mechanism. </w:t>
      </w:r>
      <w:r w:rsidR="00327D0A" w:rsidRPr="00B43B65">
        <w:rPr>
          <w:sz w:val="22"/>
          <w:lang w:eastAsia="ko-KR"/>
        </w:rPr>
        <w:t>However, the details related to implementation of T312 in NR is still not discussed.</w:t>
      </w:r>
      <w:r w:rsidR="00327D0A">
        <w:br/>
      </w:r>
    </w:p>
    <w:p w14:paraId="0EA00E42" w14:textId="22D4430D" w:rsidR="00823BE5" w:rsidRDefault="00327D0A" w:rsidP="00327D0A">
      <w:pPr>
        <w:rPr>
          <w:rFonts w:ascii="Arial" w:hAnsi="Arial" w:cs="Arial"/>
          <w:sz w:val="36"/>
        </w:rPr>
      </w:pPr>
      <w:r w:rsidRPr="00327D0A">
        <w:rPr>
          <w:rFonts w:ascii="Arial" w:hAnsi="Arial" w:cs="Arial"/>
          <w:sz w:val="36"/>
        </w:rPr>
        <w:t xml:space="preserve">2.1 </w:t>
      </w:r>
      <w:r w:rsidRPr="00327D0A">
        <w:rPr>
          <w:rFonts w:ascii="Arial" w:hAnsi="Arial" w:cs="Arial"/>
          <w:sz w:val="36"/>
        </w:rPr>
        <w:tab/>
        <w:t>Configuration of T312</w:t>
      </w:r>
    </w:p>
    <w:p w14:paraId="441CFBDA" w14:textId="2A9CD294" w:rsidR="00327D0A" w:rsidRPr="00B43B65" w:rsidRDefault="00003470" w:rsidP="00327D0A">
      <w:pPr>
        <w:rPr>
          <w:rFonts w:ascii="Arial" w:hAnsi="Arial" w:cs="Arial"/>
        </w:rPr>
      </w:pPr>
      <w:r w:rsidRPr="00B43B65">
        <w:rPr>
          <w:sz w:val="22"/>
          <w:lang w:eastAsia="ko-KR"/>
        </w:rPr>
        <w:t xml:space="preserve">In LTE, the use of T312 is configured and signalled in a 2 step process. A measurement object is configured with the value of T312, and the reporting configuration is configured with use T312. The measurement id that links the measurement object with the report configuration eventually decides whether T312 is applicable for a certain measurement report, and what value has to be configured for it. </w:t>
      </w:r>
      <w:r w:rsidR="00B07C77" w:rsidRPr="00B43B65">
        <w:rPr>
          <w:sz w:val="22"/>
          <w:lang w:eastAsia="ko-KR"/>
        </w:rPr>
        <w:t xml:space="preserve">Although the IE useT312 can be configured to any type of events, </w:t>
      </w:r>
      <w:r w:rsidR="005F0BBB" w:rsidRPr="00B43B65">
        <w:rPr>
          <w:sz w:val="22"/>
          <w:lang w:eastAsia="ko-KR"/>
        </w:rPr>
        <w:t xml:space="preserve">it is presumed that </w:t>
      </w:r>
      <w:r w:rsidR="00B07C77" w:rsidRPr="00B43B65">
        <w:rPr>
          <w:sz w:val="22"/>
          <w:lang w:eastAsia="ko-KR"/>
        </w:rPr>
        <w:t>the main events are A3, A5 and B2</w:t>
      </w:r>
      <w:r w:rsidR="005F0BBB" w:rsidRPr="00B43B65">
        <w:rPr>
          <w:sz w:val="22"/>
          <w:lang w:eastAsia="ko-KR"/>
        </w:rPr>
        <w:t xml:space="preserve"> as these are the events that monitor the signal condition of the source cell</w:t>
      </w:r>
      <w:r w:rsidR="00B07C77" w:rsidRPr="00B43B65">
        <w:rPr>
          <w:sz w:val="22"/>
          <w:lang w:eastAsia="ko-KR"/>
        </w:rPr>
        <w:t xml:space="preserve">. </w:t>
      </w:r>
      <w:r w:rsidR="007D7806" w:rsidRPr="00B43B65">
        <w:rPr>
          <w:sz w:val="22"/>
          <w:lang w:eastAsia="ko-KR"/>
        </w:rPr>
        <w:t>In LTE, for inter-frequency handover or inter-RAT handover, the measurement object linked with the reportConfig is the target frequency and therefore, T312 value is applied based on the target frequency</w:t>
      </w:r>
      <w:r w:rsidR="007D7806" w:rsidRPr="00B43B65">
        <w:rPr>
          <w:rFonts w:ascii="Arial" w:hAnsi="Arial" w:cs="Arial"/>
        </w:rPr>
        <w:t xml:space="preserve">. </w:t>
      </w:r>
    </w:p>
    <w:p w14:paraId="5D474DDB" w14:textId="52E2E286" w:rsidR="00072E4B" w:rsidRDefault="00072E4B" w:rsidP="00327D0A">
      <w:pPr>
        <w:rPr>
          <w:sz w:val="22"/>
          <w:lang w:eastAsia="ko-KR"/>
        </w:rPr>
      </w:pPr>
      <w:r>
        <w:rPr>
          <w:sz w:val="22"/>
          <w:lang w:eastAsia="ko-KR"/>
        </w:rPr>
        <w:t xml:space="preserve">T312 is intended for fast RLF or HOF declaration and fast recovery from it. These failures occur primarily due to signal condition of the source cell or serving cell and not the target cells. </w:t>
      </w:r>
      <w:r w:rsidR="002359DA">
        <w:rPr>
          <w:sz w:val="22"/>
          <w:lang w:eastAsia="ko-KR"/>
        </w:rPr>
        <w:t xml:space="preserve">For instance, when the source cell channel conditions are weak, it eventually leads to starting of T310 timer based on out of sync indications from lower layers. When T310 is running and a measurement report is triggered for an event configured to use T312, then T312 is started on the UE. On T312 expiry, radio link failure is declared. </w:t>
      </w:r>
      <w:r w:rsidR="00DA0591">
        <w:rPr>
          <w:sz w:val="22"/>
          <w:lang w:eastAsia="ko-KR"/>
        </w:rPr>
        <w:t xml:space="preserve">All the preconditions to start of T312 is related to the source cell. Therefore, it becomes more sensible that T312 </w:t>
      </w:r>
      <w:r w:rsidR="00DA0591">
        <w:rPr>
          <w:sz w:val="22"/>
          <w:lang w:eastAsia="ko-KR"/>
        </w:rPr>
        <w:lastRenderedPageBreak/>
        <w:t xml:space="preserve">is also started based on the source cell (or source frequency/ measurement object) and not based on the target frequency. There seems to be no clear rationale is linking the timer T312 value to the target frequency. </w:t>
      </w:r>
    </w:p>
    <w:p w14:paraId="243818E7" w14:textId="77777777" w:rsidR="006B5324" w:rsidRPr="00253724" w:rsidRDefault="006B5324" w:rsidP="00327D0A">
      <w:pPr>
        <w:rPr>
          <w:b/>
          <w:sz w:val="22"/>
          <w:lang w:eastAsia="ko-KR"/>
        </w:rPr>
      </w:pPr>
      <w:r w:rsidRPr="00253724">
        <w:rPr>
          <w:b/>
          <w:sz w:val="22"/>
          <w:lang w:eastAsia="ko-KR"/>
        </w:rPr>
        <w:t xml:space="preserve">Observation 1: The value of T312 does not have any relation to the target cell frequency in handover. </w:t>
      </w:r>
    </w:p>
    <w:p w14:paraId="41440DE0" w14:textId="7EBC025C" w:rsidR="005B3FB8" w:rsidRPr="00253724" w:rsidRDefault="006B5324" w:rsidP="00327D0A">
      <w:pPr>
        <w:rPr>
          <w:b/>
          <w:sz w:val="22"/>
          <w:lang w:eastAsia="ko-KR"/>
        </w:rPr>
      </w:pPr>
      <w:r w:rsidRPr="00253724">
        <w:rPr>
          <w:b/>
          <w:sz w:val="22"/>
          <w:lang w:eastAsia="ko-KR"/>
        </w:rPr>
        <w:t xml:space="preserve">Proposal 1: </w:t>
      </w:r>
      <w:r w:rsidR="00927F51" w:rsidRPr="00253724">
        <w:rPr>
          <w:b/>
          <w:sz w:val="22"/>
          <w:lang w:eastAsia="ko-KR"/>
        </w:rPr>
        <w:t xml:space="preserve">In NR, </w:t>
      </w:r>
      <w:r w:rsidR="005B3FB8" w:rsidRPr="00253724">
        <w:rPr>
          <w:b/>
          <w:sz w:val="22"/>
          <w:lang w:eastAsia="ko-KR"/>
        </w:rPr>
        <w:t xml:space="preserve">T312 is configured for the source frequency and not for the target frequency. </w:t>
      </w:r>
    </w:p>
    <w:p w14:paraId="6519164E" w14:textId="138E6A7B" w:rsidR="006B5324" w:rsidRDefault="00897055" w:rsidP="00327D0A">
      <w:pPr>
        <w:rPr>
          <w:sz w:val="22"/>
          <w:lang w:eastAsia="ko-KR"/>
        </w:rPr>
      </w:pPr>
      <w:r>
        <w:rPr>
          <w:sz w:val="22"/>
          <w:lang w:eastAsia="ko-KR"/>
        </w:rPr>
        <w:t xml:space="preserve">It is observed that T312 based on source frequency or based on PCell is </w:t>
      </w:r>
      <w:r w:rsidR="00927F51">
        <w:rPr>
          <w:sz w:val="22"/>
          <w:lang w:eastAsia="ko-KR"/>
        </w:rPr>
        <w:t>possible</w:t>
      </w:r>
      <w:r>
        <w:rPr>
          <w:sz w:val="22"/>
          <w:lang w:eastAsia="ko-KR"/>
        </w:rPr>
        <w:t xml:space="preserve"> using the existing LTE signalling mechanism. However, an additional restriction needs to be placed that T312 configured for all the applicable measurement objects configured to the UE shall be configured with the same value. </w:t>
      </w:r>
      <w:r w:rsidR="00927F51">
        <w:rPr>
          <w:sz w:val="22"/>
          <w:lang w:eastAsia="ko-KR"/>
        </w:rPr>
        <w:t xml:space="preserve">However, it may not result in a clean approach where a network is allowed to configure value of T312 for multiple measurement objects but is restricted to configure all of them with the same value. An alternative approach would be to signal a source frequency specific or PCell specific value of T312. In such cases, the signalling of T312 value in NR will change from that of LTE. </w:t>
      </w:r>
      <w:r w:rsidR="00D667FF">
        <w:rPr>
          <w:sz w:val="22"/>
          <w:lang w:eastAsia="ko-KR"/>
        </w:rPr>
        <w:t xml:space="preserve">The applicability of T312 (useT312) can be configured as part of reportConfig, similar to LTE. </w:t>
      </w:r>
    </w:p>
    <w:p w14:paraId="19F7600B" w14:textId="77F214F0" w:rsidR="00072E4B" w:rsidRPr="00253724" w:rsidRDefault="00D667FF" w:rsidP="00327D0A">
      <w:pPr>
        <w:rPr>
          <w:b/>
          <w:sz w:val="22"/>
          <w:lang w:eastAsia="ko-KR"/>
        </w:rPr>
      </w:pPr>
      <w:r w:rsidRPr="00253724">
        <w:rPr>
          <w:b/>
          <w:sz w:val="22"/>
          <w:lang w:eastAsia="ko-KR"/>
        </w:rPr>
        <w:t xml:space="preserve">Proposal 2: RAN2 to discuss which of the below signalling options is preferred to configure T312 </w:t>
      </w:r>
      <w:r w:rsidR="00563C92" w:rsidRPr="00253724">
        <w:rPr>
          <w:b/>
          <w:sz w:val="22"/>
          <w:lang w:eastAsia="ko-KR"/>
        </w:rPr>
        <w:t>based on source cell frequency (PCell) in NR</w:t>
      </w:r>
    </w:p>
    <w:p w14:paraId="6FA1AF4F" w14:textId="5DC17283" w:rsidR="00563C92" w:rsidRPr="00253724" w:rsidRDefault="00563C92" w:rsidP="00327D0A">
      <w:pPr>
        <w:rPr>
          <w:b/>
          <w:sz w:val="22"/>
          <w:lang w:eastAsia="ko-KR"/>
        </w:rPr>
      </w:pPr>
      <w:r w:rsidRPr="00253724">
        <w:rPr>
          <w:b/>
          <w:sz w:val="22"/>
          <w:lang w:eastAsia="ko-KR"/>
        </w:rPr>
        <w:tab/>
        <w:t>ALT 1: Reuse the LTE baseline - T312 is configured as part of measurement object. All applicable measurement object is configured with the same value.</w:t>
      </w:r>
    </w:p>
    <w:p w14:paraId="7ED14BE3" w14:textId="3924E6CF" w:rsidR="00563C92" w:rsidRPr="00253724" w:rsidRDefault="00563C92" w:rsidP="00327D0A">
      <w:pPr>
        <w:rPr>
          <w:b/>
          <w:sz w:val="22"/>
          <w:lang w:eastAsia="ko-KR"/>
        </w:rPr>
      </w:pPr>
      <w:r w:rsidRPr="00253724">
        <w:rPr>
          <w:b/>
          <w:sz w:val="22"/>
          <w:lang w:eastAsia="ko-KR"/>
        </w:rPr>
        <w:tab/>
        <w:t xml:space="preserve">ALT 2: PCell specific value of T312 is configured </w:t>
      </w:r>
    </w:p>
    <w:p w14:paraId="57B76851" w14:textId="1F1743A9" w:rsidR="00492FB7" w:rsidRPr="00253724" w:rsidRDefault="001B063F" w:rsidP="00327D0A">
      <w:pPr>
        <w:rPr>
          <w:b/>
          <w:sz w:val="22"/>
          <w:lang w:eastAsia="ko-KR"/>
        </w:rPr>
      </w:pPr>
      <w:r w:rsidRPr="00253724">
        <w:rPr>
          <w:b/>
          <w:sz w:val="22"/>
          <w:lang w:eastAsia="ko-KR"/>
        </w:rPr>
        <w:t xml:space="preserve">Proposal 3: Use of T312 (useT312) is event specific and configured as part of reporting configuration </w:t>
      </w:r>
    </w:p>
    <w:p w14:paraId="5A8B76F8" w14:textId="77777777" w:rsidR="00E41BBF" w:rsidRPr="001B063F" w:rsidRDefault="00E41BBF" w:rsidP="00327D0A">
      <w:pPr>
        <w:rPr>
          <w:b/>
        </w:rPr>
      </w:pPr>
    </w:p>
    <w:p w14:paraId="1D378F44" w14:textId="5B84F220" w:rsidR="009D2F38" w:rsidRDefault="009D2F38" w:rsidP="009D2F38">
      <w:pPr>
        <w:rPr>
          <w:rFonts w:ascii="Arial" w:hAnsi="Arial" w:cs="Arial"/>
          <w:sz w:val="36"/>
        </w:rPr>
      </w:pPr>
      <w:r w:rsidRPr="00327D0A">
        <w:rPr>
          <w:rFonts w:ascii="Arial" w:hAnsi="Arial" w:cs="Arial"/>
          <w:sz w:val="36"/>
        </w:rPr>
        <w:t>2.</w:t>
      </w:r>
      <w:r w:rsidR="00B06A8A">
        <w:rPr>
          <w:rFonts w:ascii="Arial" w:hAnsi="Arial" w:cs="Arial"/>
          <w:sz w:val="36"/>
        </w:rPr>
        <w:t>2</w:t>
      </w:r>
      <w:r w:rsidRPr="00327D0A">
        <w:rPr>
          <w:rFonts w:ascii="Arial" w:hAnsi="Arial" w:cs="Arial"/>
          <w:sz w:val="36"/>
        </w:rPr>
        <w:t xml:space="preserve"> </w:t>
      </w:r>
      <w:r w:rsidRPr="00327D0A">
        <w:rPr>
          <w:rFonts w:ascii="Arial" w:hAnsi="Arial" w:cs="Arial"/>
          <w:sz w:val="36"/>
        </w:rPr>
        <w:tab/>
      </w:r>
      <w:r w:rsidR="00E41BBF">
        <w:rPr>
          <w:rFonts w:ascii="Arial" w:hAnsi="Arial" w:cs="Arial"/>
          <w:sz w:val="36"/>
        </w:rPr>
        <w:t>Trigger conditions to start T312</w:t>
      </w:r>
    </w:p>
    <w:p w14:paraId="62321491" w14:textId="3102F242" w:rsidR="00327D0A" w:rsidRPr="00253724" w:rsidRDefault="00CE3230" w:rsidP="00327D0A">
      <w:pPr>
        <w:rPr>
          <w:sz w:val="22"/>
          <w:lang w:eastAsia="ko-KR"/>
        </w:rPr>
      </w:pPr>
      <w:r w:rsidRPr="00253724">
        <w:rPr>
          <w:sz w:val="22"/>
          <w:lang w:eastAsia="ko-KR"/>
        </w:rPr>
        <w:t xml:space="preserve">Another aspect that needs to be discussed is the trigger condition to start timer T312. In LTE, T312 is started when timer T310 is running, and measurement report is triggered for an event configured to use T312. </w:t>
      </w:r>
      <w:r w:rsidR="00E47D85" w:rsidRPr="00253724">
        <w:rPr>
          <w:sz w:val="22"/>
          <w:lang w:eastAsia="ko-KR"/>
        </w:rPr>
        <w:t xml:space="preserve">This approach address the case where a neighbour cells satisfies measurement reporting criteria when t310 is already running. </w:t>
      </w:r>
      <w:r w:rsidR="00EA3AD9" w:rsidRPr="00253724">
        <w:rPr>
          <w:sz w:val="22"/>
          <w:lang w:eastAsia="ko-KR"/>
        </w:rPr>
        <w:t xml:space="preserve">A scenario that is not addressed by this approach, is when the measurement report is triggered prior to start of T310, and handover command is not received when T310 is started. Once T310 is running, the probability of successfully receiving the handover command is less and may eventually lead to RLF. [2] and [3] discusses an option where T312 is started </w:t>
      </w:r>
      <w:r w:rsidR="0009265B" w:rsidRPr="00253724">
        <w:rPr>
          <w:sz w:val="22"/>
          <w:lang w:eastAsia="ko-KR"/>
        </w:rPr>
        <w:t xml:space="preserve">along with T310, </w:t>
      </w:r>
      <w:r w:rsidR="00EA3AD9" w:rsidRPr="00253724">
        <w:rPr>
          <w:sz w:val="22"/>
          <w:lang w:eastAsia="ko-KR"/>
        </w:rPr>
        <w:t xml:space="preserve">if a an associated measurement report is sent to the network when T310 is not running, and the condition for the measurement report </w:t>
      </w:r>
      <w:r w:rsidR="0009265B" w:rsidRPr="00253724">
        <w:rPr>
          <w:sz w:val="22"/>
          <w:lang w:eastAsia="ko-KR"/>
        </w:rPr>
        <w:t>still holds at the start of T310</w:t>
      </w:r>
      <w:r w:rsidR="00EA3AD9" w:rsidRPr="00253724">
        <w:rPr>
          <w:sz w:val="22"/>
          <w:lang w:eastAsia="ko-KR"/>
        </w:rPr>
        <w:t xml:space="preserve">.  </w:t>
      </w:r>
    </w:p>
    <w:p w14:paraId="5914ACC2" w14:textId="66415993" w:rsidR="00482850" w:rsidRPr="00253724" w:rsidRDefault="00482850" w:rsidP="00327D0A">
      <w:pPr>
        <w:rPr>
          <w:b/>
          <w:sz w:val="22"/>
          <w:lang w:eastAsia="ko-KR"/>
        </w:rPr>
      </w:pPr>
      <w:r w:rsidRPr="00253724">
        <w:rPr>
          <w:b/>
          <w:sz w:val="22"/>
          <w:lang w:eastAsia="ko-KR"/>
        </w:rPr>
        <w:t>Proposal 4: RAN to discuss which of the below triggering conditions to start T312 is preferred</w:t>
      </w:r>
    </w:p>
    <w:p w14:paraId="74165269" w14:textId="1B14D168" w:rsidR="00482850" w:rsidRPr="00253724" w:rsidRDefault="00482850" w:rsidP="00327D0A">
      <w:pPr>
        <w:rPr>
          <w:b/>
          <w:sz w:val="22"/>
          <w:lang w:eastAsia="ko-KR"/>
        </w:rPr>
      </w:pPr>
      <w:r w:rsidRPr="00253724">
        <w:rPr>
          <w:b/>
          <w:sz w:val="22"/>
          <w:lang w:eastAsia="ko-KR"/>
        </w:rPr>
        <w:tab/>
        <w:t xml:space="preserve">ALT 1: Reuse the LTE baseline – Start </w:t>
      </w:r>
      <w:r w:rsidR="00BD419C" w:rsidRPr="00253724">
        <w:rPr>
          <w:b/>
          <w:sz w:val="22"/>
          <w:lang w:eastAsia="ko-KR"/>
        </w:rPr>
        <w:t xml:space="preserve">timer </w:t>
      </w:r>
      <w:r w:rsidRPr="00253724">
        <w:rPr>
          <w:b/>
          <w:sz w:val="22"/>
          <w:lang w:eastAsia="ko-KR"/>
        </w:rPr>
        <w:t xml:space="preserve">T312 when T310 is running, and a measurement report is triggered for an event that is configured to use T312. </w:t>
      </w:r>
    </w:p>
    <w:p w14:paraId="64C6F06B" w14:textId="013527C0" w:rsidR="00BD419C" w:rsidRPr="00253724" w:rsidRDefault="00BD419C" w:rsidP="00327D0A">
      <w:pPr>
        <w:rPr>
          <w:b/>
          <w:sz w:val="22"/>
          <w:lang w:eastAsia="ko-KR"/>
        </w:rPr>
      </w:pPr>
      <w:r w:rsidRPr="00253724">
        <w:rPr>
          <w:b/>
          <w:sz w:val="22"/>
          <w:lang w:eastAsia="ko-KR"/>
        </w:rPr>
        <w:tab/>
        <w:t>ALT 2: Start timer T312 when T310 starts running, if measurement report has already been triggered for an event that is configured to use T312, and the condition for triggering the measurement report still holds at the start of T310.</w:t>
      </w:r>
    </w:p>
    <w:p w14:paraId="01FCE482" w14:textId="091AC0EA" w:rsidR="00A72676" w:rsidRDefault="00A72676" w:rsidP="00A72676">
      <w:pPr>
        <w:rPr>
          <w:rFonts w:ascii="Arial" w:hAnsi="Arial" w:cs="Arial"/>
          <w:sz w:val="36"/>
        </w:rPr>
      </w:pPr>
      <w:r w:rsidRPr="00327D0A">
        <w:rPr>
          <w:rFonts w:ascii="Arial" w:hAnsi="Arial" w:cs="Arial"/>
          <w:sz w:val="36"/>
        </w:rPr>
        <w:t>2.</w:t>
      </w:r>
      <w:r>
        <w:rPr>
          <w:rFonts w:ascii="Arial" w:hAnsi="Arial" w:cs="Arial"/>
          <w:sz w:val="36"/>
        </w:rPr>
        <w:t>3</w:t>
      </w:r>
      <w:r w:rsidRPr="00327D0A">
        <w:rPr>
          <w:rFonts w:ascii="Arial" w:hAnsi="Arial" w:cs="Arial"/>
          <w:sz w:val="36"/>
        </w:rPr>
        <w:t xml:space="preserve"> </w:t>
      </w:r>
      <w:r w:rsidRPr="00327D0A">
        <w:rPr>
          <w:rFonts w:ascii="Arial" w:hAnsi="Arial" w:cs="Arial"/>
          <w:sz w:val="36"/>
        </w:rPr>
        <w:tab/>
      </w:r>
      <w:r>
        <w:rPr>
          <w:rFonts w:ascii="Arial" w:hAnsi="Arial" w:cs="Arial"/>
          <w:sz w:val="36"/>
        </w:rPr>
        <w:t>T312 on PSCell</w:t>
      </w:r>
    </w:p>
    <w:p w14:paraId="7288A302" w14:textId="435746B2" w:rsidR="00816A45" w:rsidRDefault="00816A45" w:rsidP="00253724">
      <w:pPr>
        <w:rPr>
          <w:sz w:val="22"/>
          <w:lang w:eastAsia="ko-KR"/>
        </w:rPr>
      </w:pPr>
      <w:r>
        <w:rPr>
          <w:sz w:val="22"/>
          <w:lang w:eastAsia="ko-KR"/>
        </w:rPr>
        <w:t xml:space="preserve">LTE does not support applying T312 to the SCG change case. </w:t>
      </w:r>
      <w:r w:rsidRPr="00F872E9">
        <w:rPr>
          <w:sz w:val="22"/>
          <w:lang w:eastAsia="ko-KR"/>
        </w:rPr>
        <w:t>However, SCG in NR including EN-DC as well as MR-DC options are considered by operators for commercial deployments compared to LTE-DC which is not yet deployed</w:t>
      </w:r>
      <w:r>
        <w:rPr>
          <w:sz w:val="22"/>
          <w:lang w:eastAsia="ko-KR"/>
        </w:rPr>
        <w:t>. So the interruption on SCG link also could have more impact to the user experience as compared to that of LTE DC</w:t>
      </w:r>
      <w:r w:rsidRPr="005764A6">
        <w:rPr>
          <w:sz w:val="22"/>
          <w:lang w:eastAsia="ko-KR"/>
        </w:rPr>
        <w:t xml:space="preserve">. </w:t>
      </w:r>
      <w:r>
        <w:rPr>
          <w:sz w:val="22"/>
          <w:lang w:eastAsia="ko-KR"/>
        </w:rPr>
        <w:t xml:space="preserve">If a UE is configured with MR-DC where SCG configurations are embedded in the reconfiguration message of MCG i.e., SRB3 is not configured, all the SCG uplink RRC message from the UE is sent to the SN by carrying it over MN message. As a result, measurement reports that are triggered for SCG measurement configurations are sent to the network via MCG. </w:t>
      </w:r>
      <w:r w:rsidR="00A83DB3">
        <w:rPr>
          <w:sz w:val="22"/>
          <w:lang w:eastAsia="ko-KR"/>
        </w:rPr>
        <w:t>Therefore, the MC</w:t>
      </w:r>
      <w:r>
        <w:rPr>
          <w:sz w:val="22"/>
          <w:lang w:eastAsia="ko-KR"/>
        </w:rPr>
        <w:t xml:space="preserve">G is aware of the PSCell signal conditions and initiate SCG change procedure as required. </w:t>
      </w:r>
    </w:p>
    <w:p w14:paraId="7EE2843A" w14:textId="77777777" w:rsidR="00816A45" w:rsidRDefault="00816A45" w:rsidP="00253724">
      <w:pPr>
        <w:rPr>
          <w:sz w:val="22"/>
          <w:lang w:eastAsia="ko-KR"/>
        </w:rPr>
      </w:pPr>
    </w:p>
    <w:p w14:paraId="52F792B1" w14:textId="38E64DAF" w:rsidR="00816A45" w:rsidRDefault="00816A45" w:rsidP="00253724">
      <w:pPr>
        <w:rPr>
          <w:sz w:val="22"/>
          <w:lang w:eastAsia="ko-KR"/>
        </w:rPr>
      </w:pPr>
      <w:r>
        <w:rPr>
          <w:sz w:val="22"/>
          <w:lang w:eastAsia="ko-KR"/>
        </w:rPr>
        <w:t xml:space="preserve">However, if a UE is configured with MR-DC where SCG configurations are provided to the UE over SRB3, any SCG uplink RRC message from the UE is sent to the SN directly over SRB3. As a result, measurement reports that are triggered for SCG measurement configurations are sent directly to SN over SRB3. When the signal conditions of PSCell is weak, there is high probability that any triggered measurement reports may not be received successfully by SN, especially if UE is in OUT_OF_SYNC state i.e., T310 is running for PSCell at UE side. If the measurement report is not received by the SN due to weak channel, the UE will eventually declare PSCell RLF due to T310 expiry and initiate transmission of SCG failure information to the network thereby informing the network of the RLF on PSCell. Under such cases, when SRB3 is configured and MN is not aware of the UE signal condition to the SN, it is beneficial to have early declaration of RLF to facilitate early transmission of SCG failure information to the network based on T312 timer. </w:t>
      </w:r>
      <w:r w:rsidRPr="005764A6">
        <w:rPr>
          <w:sz w:val="22"/>
          <w:lang w:eastAsia="ko-KR"/>
        </w:rPr>
        <w:t xml:space="preserve">This </w:t>
      </w:r>
      <w:r>
        <w:rPr>
          <w:sz w:val="22"/>
          <w:lang w:eastAsia="ko-KR"/>
        </w:rPr>
        <w:t xml:space="preserve">extension </w:t>
      </w:r>
      <w:r w:rsidRPr="005764A6">
        <w:rPr>
          <w:sz w:val="22"/>
          <w:lang w:eastAsia="ko-KR"/>
        </w:rPr>
        <w:t>can facilitate less interruption on the bearers configured over SCG as the MCG can perform actions on reception of SCG failure information earlier using T312.</w:t>
      </w:r>
      <w:r>
        <w:rPr>
          <w:sz w:val="22"/>
          <w:lang w:eastAsia="ko-KR"/>
        </w:rPr>
        <w:t xml:space="preserve"> Therefore, further extension of using T312 to SCG case also could be discussed.</w:t>
      </w:r>
      <w:r w:rsidR="0049618F">
        <w:rPr>
          <w:sz w:val="22"/>
          <w:lang w:eastAsia="ko-KR"/>
        </w:rPr>
        <w:t xml:space="preserve"> A sequence diagram showing the UE operation is illustrated in the below figure.</w:t>
      </w:r>
    </w:p>
    <w:p w14:paraId="348DC92A" w14:textId="3E6B1FFB" w:rsidR="00816A45" w:rsidRDefault="00816A45" w:rsidP="00816A45">
      <w:pPr>
        <w:spacing w:line="312" w:lineRule="auto"/>
        <w:jc w:val="center"/>
        <w:rPr>
          <w:sz w:val="22"/>
          <w:lang w:eastAsia="ko-KR"/>
        </w:rPr>
      </w:pPr>
      <w:r>
        <w:rPr>
          <w:noProof/>
          <w:sz w:val="22"/>
          <w:lang w:val="en-IN" w:eastAsia="en-IN"/>
        </w:rPr>
        <w:drawing>
          <wp:inline distT="0" distB="0" distL="0" distR="0" wp14:anchorId="2EB6C437" wp14:editId="34923844">
            <wp:extent cx="5390515" cy="4247515"/>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0515" cy="4247515"/>
                    </a:xfrm>
                    <a:prstGeom prst="rect">
                      <a:avLst/>
                    </a:prstGeom>
                    <a:noFill/>
                  </pic:spPr>
                </pic:pic>
              </a:graphicData>
            </a:graphic>
          </wp:inline>
        </w:drawing>
      </w:r>
    </w:p>
    <w:p w14:paraId="7EC3603F" w14:textId="660BD375" w:rsidR="00816A45" w:rsidRPr="005764A6" w:rsidRDefault="00816A45" w:rsidP="00253724">
      <w:pPr>
        <w:rPr>
          <w:b/>
          <w:sz w:val="22"/>
          <w:lang w:eastAsia="ko-KR"/>
        </w:rPr>
      </w:pPr>
      <w:r w:rsidRPr="005764A6">
        <w:rPr>
          <w:b/>
          <w:sz w:val="22"/>
          <w:lang w:eastAsia="ko-KR"/>
        </w:rPr>
        <w:t xml:space="preserve">Proposal </w:t>
      </w:r>
      <w:r w:rsidR="0049618F">
        <w:rPr>
          <w:b/>
          <w:sz w:val="22"/>
          <w:lang w:eastAsia="ko-KR"/>
        </w:rPr>
        <w:t>5</w:t>
      </w:r>
      <w:r w:rsidRPr="005764A6">
        <w:rPr>
          <w:b/>
          <w:sz w:val="22"/>
          <w:lang w:eastAsia="ko-KR"/>
        </w:rPr>
        <w:t xml:space="preserve">. </w:t>
      </w:r>
      <w:r w:rsidR="00200EE0">
        <w:rPr>
          <w:b/>
          <w:sz w:val="22"/>
          <w:lang w:eastAsia="ko-KR"/>
        </w:rPr>
        <w:t>Introduce T312 based mechanism on PSCell for fast declaration of SCG failure</w:t>
      </w:r>
      <w:r>
        <w:rPr>
          <w:b/>
          <w:sz w:val="22"/>
          <w:lang w:eastAsia="ko-KR"/>
        </w:rPr>
        <w:t>.</w:t>
      </w:r>
    </w:p>
    <w:p w14:paraId="43A12B72" w14:textId="40BCD7FC"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4E24DC3A" w14:textId="37FC7E8E" w:rsidR="00B43B65" w:rsidRPr="00B43B65" w:rsidRDefault="00A76041" w:rsidP="00ED602D">
      <w:pPr>
        <w:rPr>
          <w:sz w:val="22"/>
          <w:lang w:eastAsia="ko-KR"/>
        </w:rPr>
      </w:pPr>
      <w:r>
        <w:rPr>
          <w:sz w:val="22"/>
          <w:lang w:eastAsia="ko-KR"/>
        </w:rPr>
        <w:t xml:space="preserve">The contribution discusses the remaining aspects related to use of T312 in NR. Several aspects are discussed and the following observations and proposals are made. </w:t>
      </w:r>
    </w:p>
    <w:p w14:paraId="6C52D77A" w14:textId="49A4B0F1" w:rsidR="00ED602D" w:rsidRPr="001B063F" w:rsidRDefault="00ED602D" w:rsidP="00ED602D">
      <w:pPr>
        <w:rPr>
          <w:b/>
          <w:sz w:val="22"/>
          <w:lang w:eastAsia="ko-KR"/>
        </w:rPr>
      </w:pPr>
      <w:r w:rsidRPr="001B063F">
        <w:rPr>
          <w:b/>
          <w:sz w:val="22"/>
          <w:lang w:eastAsia="ko-KR"/>
        </w:rPr>
        <w:t xml:space="preserve">Observation 1: The value of T312 does not have any relation to the target cell frequency in handover. </w:t>
      </w:r>
    </w:p>
    <w:p w14:paraId="412149AC" w14:textId="77777777" w:rsidR="00ED602D" w:rsidRPr="001B063F" w:rsidRDefault="00ED602D" w:rsidP="00ED602D">
      <w:pPr>
        <w:rPr>
          <w:b/>
          <w:sz w:val="22"/>
          <w:lang w:eastAsia="ko-KR"/>
        </w:rPr>
      </w:pPr>
      <w:r w:rsidRPr="001B063F">
        <w:rPr>
          <w:b/>
          <w:sz w:val="22"/>
          <w:lang w:eastAsia="ko-KR"/>
        </w:rPr>
        <w:t xml:space="preserve">Proposal 1: In NR, T312 is configured for the source frequency and not for the target frequency. </w:t>
      </w:r>
    </w:p>
    <w:p w14:paraId="61A0AA8C" w14:textId="77777777" w:rsidR="00ED602D" w:rsidRPr="00253724" w:rsidRDefault="00ED602D" w:rsidP="00ED602D">
      <w:pPr>
        <w:rPr>
          <w:b/>
          <w:sz w:val="22"/>
          <w:lang w:eastAsia="ko-KR"/>
        </w:rPr>
      </w:pPr>
      <w:r w:rsidRPr="00253724">
        <w:rPr>
          <w:b/>
          <w:sz w:val="22"/>
          <w:lang w:eastAsia="ko-KR"/>
        </w:rPr>
        <w:lastRenderedPageBreak/>
        <w:t>Proposal 2: RAN2 to discuss which of the below signalling options is preferred to configure T312 based on source cell frequency (PCell) in NR</w:t>
      </w:r>
    </w:p>
    <w:p w14:paraId="6BBB9B0B" w14:textId="77777777" w:rsidR="00ED602D" w:rsidRPr="00253724" w:rsidRDefault="00ED602D" w:rsidP="00ED602D">
      <w:pPr>
        <w:rPr>
          <w:b/>
          <w:sz w:val="22"/>
          <w:lang w:eastAsia="ko-KR"/>
        </w:rPr>
      </w:pPr>
      <w:r w:rsidRPr="00253724">
        <w:rPr>
          <w:b/>
          <w:sz w:val="22"/>
          <w:lang w:eastAsia="ko-KR"/>
        </w:rPr>
        <w:tab/>
        <w:t>ALT 1: Reuse the LTE baseline - T312 is configured as part of measurement object. All applicable measurement object is configured with the same value.</w:t>
      </w:r>
    </w:p>
    <w:p w14:paraId="1737DB33" w14:textId="77777777" w:rsidR="00ED602D" w:rsidRPr="00253724" w:rsidRDefault="00ED602D" w:rsidP="00ED602D">
      <w:pPr>
        <w:rPr>
          <w:b/>
          <w:sz w:val="22"/>
          <w:lang w:eastAsia="ko-KR"/>
        </w:rPr>
      </w:pPr>
      <w:r w:rsidRPr="00253724">
        <w:rPr>
          <w:b/>
          <w:sz w:val="22"/>
          <w:lang w:eastAsia="ko-KR"/>
        </w:rPr>
        <w:tab/>
        <w:t xml:space="preserve">ALT 2: PCell specific value of T312 is configured </w:t>
      </w:r>
    </w:p>
    <w:p w14:paraId="54E10413" w14:textId="77777777" w:rsidR="00ED602D" w:rsidRPr="00253724" w:rsidRDefault="00ED602D" w:rsidP="00ED602D">
      <w:pPr>
        <w:rPr>
          <w:b/>
          <w:sz w:val="22"/>
          <w:lang w:eastAsia="ko-KR"/>
        </w:rPr>
      </w:pPr>
      <w:r w:rsidRPr="00253724">
        <w:rPr>
          <w:b/>
          <w:sz w:val="22"/>
          <w:lang w:eastAsia="ko-KR"/>
        </w:rPr>
        <w:t xml:space="preserve">Proposal 3: Use of T312 (useT312) is event specific and configured as part of reporting configuration </w:t>
      </w:r>
    </w:p>
    <w:p w14:paraId="576630DB" w14:textId="77777777" w:rsidR="00ED602D" w:rsidRPr="00253724" w:rsidRDefault="00ED602D" w:rsidP="00ED602D">
      <w:pPr>
        <w:rPr>
          <w:b/>
          <w:sz w:val="22"/>
          <w:lang w:eastAsia="ko-KR"/>
        </w:rPr>
      </w:pPr>
    </w:p>
    <w:p w14:paraId="6D48B8AF" w14:textId="77777777" w:rsidR="00ED602D" w:rsidRPr="00253724" w:rsidRDefault="00ED602D" w:rsidP="00ED602D">
      <w:pPr>
        <w:rPr>
          <w:b/>
          <w:sz w:val="22"/>
          <w:lang w:eastAsia="ko-KR"/>
        </w:rPr>
      </w:pPr>
      <w:r w:rsidRPr="00253724">
        <w:rPr>
          <w:b/>
          <w:sz w:val="22"/>
          <w:lang w:eastAsia="ko-KR"/>
        </w:rPr>
        <w:t>Proposal 4: RAN to discuss which of the below triggering conditions to start T312 is preferred</w:t>
      </w:r>
    </w:p>
    <w:p w14:paraId="19E1F4A2" w14:textId="77777777" w:rsidR="00ED602D" w:rsidRPr="00253724" w:rsidRDefault="00ED602D" w:rsidP="00ED602D">
      <w:pPr>
        <w:rPr>
          <w:b/>
          <w:sz w:val="22"/>
          <w:lang w:eastAsia="ko-KR"/>
        </w:rPr>
      </w:pPr>
      <w:r w:rsidRPr="00253724">
        <w:rPr>
          <w:b/>
          <w:sz w:val="22"/>
          <w:lang w:eastAsia="ko-KR"/>
        </w:rPr>
        <w:tab/>
        <w:t xml:space="preserve">ALT 1: Reuse the LTE baseline – Start timer T312 when T310 is running, and a measurement report is triggered for an event that is configured to use T312. </w:t>
      </w:r>
    </w:p>
    <w:p w14:paraId="3BFFFE7C" w14:textId="0A7AB5FC" w:rsidR="00ED602D" w:rsidRPr="00253724" w:rsidRDefault="00ED602D" w:rsidP="00ED602D">
      <w:pPr>
        <w:rPr>
          <w:b/>
          <w:sz w:val="22"/>
          <w:lang w:eastAsia="ko-KR"/>
        </w:rPr>
      </w:pPr>
      <w:r w:rsidRPr="00253724">
        <w:rPr>
          <w:b/>
          <w:sz w:val="22"/>
          <w:lang w:eastAsia="ko-KR"/>
        </w:rPr>
        <w:tab/>
        <w:t>ALT 2: Start timer T312 when T310 starts running, if measurement report has already been triggered for an event that is configured to use T312, and the condition for triggering the measurement report still holds at the start of T310.</w:t>
      </w:r>
    </w:p>
    <w:p w14:paraId="66D2A8E5" w14:textId="77777777" w:rsidR="00ED602D" w:rsidRPr="005764A6" w:rsidRDefault="00ED602D" w:rsidP="00253724">
      <w:pPr>
        <w:rPr>
          <w:b/>
          <w:sz w:val="22"/>
          <w:lang w:eastAsia="ko-KR"/>
        </w:rPr>
      </w:pPr>
      <w:r w:rsidRPr="005764A6">
        <w:rPr>
          <w:b/>
          <w:sz w:val="22"/>
          <w:lang w:eastAsia="ko-KR"/>
        </w:rPr>
        <w:t xml:space="preserve">Proposal </w:t>
      </w:r>
      <w:r>
        <w:rPr>
          <w:b/>
          <w:sz w:val="22"/>
          <w:lang w:eastAsia="ko-KR"/>
        </w:rPr>
        <w:t>5</w:t>
      </w:r>
      <w:r w:rsidRPr="005764A6">
        <w:rPr>
          <w:b/>
          <w:sz w:val="22"/>
          <w:lang w:eastAsia="ko-KR"/>
        </w:rPr>
        <w:t xml:space="preserve">. </w:t>
      </w:r>
      <w:r>
        <w:rPr>
          <w:b/>
          <w:sz w:val="22"/>
          <w:lang w:eastAsia="ko-KR"/>
        </w:rPr>
        <w:t>Introduce T312 based mechanism on PSCell for fast declaration of SCG failure.</w:t>
      </w:r>
    </w:p>
    <w:p w14:paraId="0FDCFAC2" w14:textId="77777777" w:rsidR="00CD4C7B" w:rsidRPr="00C639BE" w:rsidRDefault="00CD4C7B" w:rsidP="00CD4C7B">
      <w:pPr>
        <w:pStyle w:val="Heading1"/>
        <w:rPr>
          <w:rFonts w:cs="Arial"/>
        </w:rPr>
      </w:pPr>
      <w:r w:rsidRPr="00C639BE">
        <w:rPr>
          <w:rFonts w:cs="Arial"/>
        </w:rPr>
        <w:t>References</w:t>
      </w:r>
    </w:p>
    <w:p w14:paraId="76BA2103" w14:textId="0BC5FAC2" w:rsidR="000F4184" w:rsidRPr="00C639BE" w:rsidRDefault="00E56643" w:rsidP="00EF31F5">
      <w:pPr>
        <w:numPr>
          <w:ilvl w:val="0"/>
          <w:numId w:val="4"/>
        </w:numPr>
        <w:overflowPunct w:val="0"/>
        <w:autoSpaceDE w:val="0"/>
        <w:autoSpaceDN w:val="0"/>
        <w:adjustRightInd w:val="0"/>
        <w:jc w:val="both"/>
        <w:textAlignment w:val="baseline"/>
        <w:rPr>
          <w:rFonts w:ascii="Arial" w:hAnsi="Arial" w:cs="Arial"/>
        </w:rPr>
      </w:pPr>
      <w:bookmarkStart w:id="1" w:name="_Ref528151056"/>
      <w:bookmarkStart w:id="2" w:name="_Ref75086397"/>
      <w:r w:rsidRPr="00C639BE">
        <w:rPr>
          <w:rFonts w:ascii="Arial" w:hAnsi="Arial" w:cs="Arial"/>
        </w:rPr>
        <w:t>RP-181433, New WID: NR mobility enhancements, 3GPP TSG RAN Meeting #80, La Jolla, USA, May 21-May 25 2018.</w:t>
      </w:r>
      <w:r w:rsidRPr="00C639BE" w:rsidDel="00E56643">
        <w:rPr>
          <w:rFonts w:ascii="Arial" w:hAnsi="Arial" w:cs="Arial"/>
        </w:rPr>
        <w:t xml:space="preserve"> </w:t>
      </w:r>
      <w:r w:rsidRPr="00C639BE">
        <w:rPr>
          <w:rFonts w:ascii="Arial" w:hAnsi="Arial" w:cs="Arial"/>
        </w:rPr>
        <w:t xml:space="preserve"> </w:t>
      </w:r>
      <w:bookmarkEnd w:id="1"/>
    </w:p>
    <w:bookmarkEnd w:id="2"/>
    <w:p w14:paraId="477B0C3C" w14:textId="020A80A2" w:rsidR="000C7A74" w:rsidRPr="00B43B65" w:rsidRDefault="00B43B65" w:rsidP="00B43B65">
      <w:pPr>
        <w:numPr>
          <w:ilvl w:val="0"/>
          <w:numId w:val="4"/>
        </w:numPr>
        <w:overflowPunct w:val="0"/>
        <w:autoSpaceDE w:val="0"/>
        <w:autoSpaceDN w:val="0"/>
        <w:adjustRightInd w:val="0"/>
        <w:jc w:val="both"/>
        <w:textAlignment w:val="baseline"/>
        <w:rPr>
          <w:rFonts w:ascii="Arial" w:hAnsi="Arial" w:cs="Arial"/>
        </w:rPr>
      </w:pPr>
      <w:r w:rsidRPr="00B43B65">
        <w:rPr>
          <w:rFonts w:ascii="Arial" w:eastAsia="Malgun Gothic" w:hAnsi="Arial" w:cs="Arial"/>
          <w:lang w:eastAsia="ko-KR"/>
        </w:rPr>
        <w:t>R2</w:t>
      </w:r>
      <w:r w:rsidRPr="00B43B65">
        <w:rPr>
          <w:rFonts w:ascii="Arial" w:hAnsi="Arial" w:cs="Arial"/>
        </w:rPr>
        <w:t>-1909294</w:t>
      </w:r>
      <w:r w:rsidRPr="00B43B65">
        <w:rPr>
          <w:rFonts w:ascii="Arial" w:hAnsi="Arial" w:cs="Arial"/>
        </w:rPr>
        <w:tab/>
        <w:t>Considerations for failure recovery in NR</w:t>
      </w:r>
      <w:r w:rsidRPr="00B43B65">
        <w:rPr>
          <w:rFonts w:ascii="Arial" w:hAnsi="Arial" w:cs="Arial"/>
        </w:rPr>
        <w:tab/>
        <w:t>Nokia, Nokia Shanghai Bell</w:t>
      </w:r>
      <w:r w:rsidRPr="00B43B65">
        <w:rPr>
          <w:rFonts w:ascii="Arial" w:hAnsi="Arial" w:cs="Arial"/>
        </w:rPr>
        <w:tab/>
        <w:t>di</w:t>
      </w:r>
      <w:r w:rsidR="00D1188D">
        <w:rPr>
          <w:rFonts w:ascii="Arial" w:hAnsi="Arial" w:cs="Arial"/>
        </w:rPr>
        <w:t>scussion</w:t>
      </w:r>
      <w:r w:rsidR="00D1188D">
        <w:rPr>
          <w:rFonts w:ascii="Arial" w:hAnsi="Arial" w:cs="Arial"/>
        </w:rPr>
        <w:tab/>
        <w:t>Rel-16</w:t>
      </w:r>
      <w:r w:rsidR="00D1188D">
        <w:rPr>
          <w:rFonts w:ascii="Arial" w:hAnsi="Arial" w:cs="Arial"/>
        </w:rPr>
        <w:tab/>
        <w:t>NR_Mob_enh-Core</w:t>
      </w:r>
    </w:p>
    <w:p w14:paraId="49BCAD1F" w14:textId="6F5016C3" w:rsidR="00B43B65" w:rsidRPr="00B43B65" w:rsidRDefault="00B43B65" w:rsidP="00B43B65">
      <w:pPr>
        <w:numPr>
          <w:ilvl w:val="0"/>
          <w:numId w:val="4"/>
        </w:numPr>
        <w:overflowPunct w:val="0"/>
        <w:autoSpaceDE w:val="0"/>
        <w:autoSpaceDN w:val="0"/>
        <w:adjustRightInd w:val="0"/>
        <w:jc w:val="both"/>
        <w:textAlignment w:val="baseline"/>
        <w:rPr>
          <w:rFonts w:ascii="Arial" w:hAnsi="Arial" w:cs="Arial"/>
        </w:rPr>
      </w:pPr>
      <w:r w:rsidRPr="00B43B65">
        <w:rPr>
          <w:rFonts w:ascii="Arial" w:hAnsi="Arial" w:cs="Arial"/>
        </w:rPr>
        <w:t>R2-1909341</w:t>
      </w:r>
      <w:r w:rsidRPr="00B43B65">
        <w:rPr>
          <w:rFonts w:ascii="Arial" w:hAnsi="Arial" w:cs="Arial"/>
        </w:rPr>
        <w:tab/>
        <w:t>Fast RLF triggering based on timer T312</w:t>
      </w:r>
      <w:r w:rsidRPr="00B43B65">
        <w:rPr>
          <w:rFonts w:ascii="Arial" w:hAnsi="Arial" w:cs="Arial"/>
        </w:rPr>
        <w:tab/>
        <w:t>Ericsson</w:t>
      </w:r>
      <w:r w:rsidRPr="00B43B65">
        <w:rPr>
          <w:rFonts w:ascii="Arial" w:hAnsi="Arial" w:cs="Arial"/>
        </w:rPr>
        <w:tab/>
        <w:t>discussion</w:t>
      </w:r>
      <w:r w:rsidRPr="00B43B65">
        <w:rPr>
          <w:rFonts w:ascii="Arial" w:hAnsi="Arial" w:cs="Arial"/>
        </w:rPr>
        <w:tab/>
        <w:t>NR_Mob_enh-Core</w:t>
      </w:r>
    </w:p>
    <w:sectPr w:rsidR="00B43B65" w:rsidRPr="00B43B65"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590E4" w14:textId="77777777" w:rsidR="00F21208" w:rsidRDefault="00F21208">
      <w:r>
        <w:separator/>
      </w:r>
    </w:p>
  </w:endnote>
  <w:endnote w:type="continuationSeparator" w:id="0">
    <w:p w14:paraId="725146A9" w14:textId="77777777" w:rsidR="00F21208" w:rsidRDefault="00F21208">
      <w:r>
        <w:continuationSeparator/>
      </w:r>
    </w:p>
  </w:endnote>
  <w:endnote w:type="continuationNotice" w:id="1">
    <w:p w14:paraId="218A22D1" w14:textId="77777777" w:rsidR="00F21208" w:rsidRDefault="00F212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318F4" w14:textId="77777777" w:rsidR="00F21208" w:rsidRDefault="00F21208">
      <w:r>
        <w:separator/>
      </w:r>
    </w:p>
  </w:footnote>
  <w:footnote w:type="continuationSeparator" w:id="0">
    <w:p w14:paraId="158B2145" w14:textId="77777777" w:rsidR="00F21208" w:rsidRDefault="00F21208">
      <w:r>
        <w:continuationSeparator/>
      </w:r>
    </w:p>
  </w:footnote>
  <w:footnote w:type="continuationNotice" w:id="1">
    <w:p w14:paraId="228CE385" w14:textId="77777777" w:rsidR="00F21208" w:rsidRDefault="00F212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10"/>
  </w:num>
  <w:num w:numId="8">
    <w:abstractNumId w:val="8"/>
  </w:num>
  <w:num w:numId="9">
    <w:abstractNumId w:val="6"/>
  </w:num>
  <w:num w:numId="10">
    <w:abstractNumId w:val="9"/>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16E90"/>
    <w:rsid w:val="00023FE1"/>
    <w:rsid w:val="00025CAA"/>
    <w:rsid w:val="00026163"/>
    <w:rsid w:val="00027E9F"/>
    <w:rsid w:val="00033397"/>
    <w:rsid w:val="00036A85"/>
    <w:rsid w:val="00040095"/>
    <w:rsid w:val="00042337"/>
    <w:rsid w:val="0004393C"/>
    <w:rsid w:val="00044A21"/>
    <w:rsid w:val="0005343D"/>
    <w:rsid w:val="00054BDA"/>
    <w:rsid w:val="00055729"/>
    <w:rsid w:val="00065106"/>
    <w:rsid w:val="000656C6"/>
    <w:rsid w:val="000658D1"/>
    <w:rsid w:val="000665E2"/>
    <w:rsid w:val="00066E93"/>
    <w:rsid w:val="000721ED"/>
    <w:rsid w:val="00072E4B"/>
    <w:rsid w:val="00073C25"/>
    <w:rsid w:val="00080512"/>
    <w:rsid w:val="00082C05"/>
    <w:rsid w:val="00087D20"/>
    <w:rsid w:val="00090468"/>
    <w:rsid w:val="0009078A"/>
    <w:rsid w:val="0009151D"/>
    <w:rsid w:val="0009265B"/>
    <w:rsid w:val="00095799"/>
    <w:rsid w:val="000A5DC9"/>
    <w:rsid w:val="000B0B33"/>
    <w:rsid w:val="000B15D2"/>
    <w:rsid w:val="000B7BCF"/>
    <w:rsid w:val="000C1610"/>
    <w:rsid w:val="000C1DC9"/>
    <w:rsid w:val="000C29DF"/>
    <w:rsid w:val="000C4661"/>
    <w:rsid w:val="000C522B"/>
    <w:rsid w:val="000C7A74"/>
    <w:rsid w:val="000D1C3C"/>
    <w:rsid w:val="000D2C9E"/>
    <w:rsid w:val="000D58AB"/>
    <w:rsid w:val="000E2703"/>
    <w:rsid w:val="000E76EC"/>
    <w:rsid w:val="000F0E7B"/>
    <w:rsid w:val="000F16F5"/>
    <w:rsid w:val="000F25E9"/>
    <w:rsid w:val="000F29D0"/>
    <w:rsid w:val="000F4184"/>
    <w:rsid w:val="000F5175"/>
    <w:rsid w:val="000F73A2"/>
    <w:rsid w:val="00101F09"/>
    <w:rsid w:val="001029D4"/>
    <w:rsid w:val="001059B9"/>
    <w:rsid w:val="00106D9B"/>
    <w:rsid w:val="00106E25"/>
    <w:rsid w:val="001070D6"/>
    <w:rsid w:val="001077E2"/>
    <w:rsid w:val="00112F1A"/>
    <w:rsid w:val="00116EE6"/>
    <w:rsid w:val="00117E0A"/>
    <w:rsid w:val="00125389"/>
    <w:rsid w:val="0012595C"/>
    <w:rsid w:val="0012661A"/>
    <w:rsid w:val="001315D2"/>
    <w:rsid w:val="00131AD5"/>
    <w:rsid w:val="00131D33"/>
    <w:rsid w:val="001326C2"/>
    <w:rsid w:val="00133FC0"/>
    <w:rsid w:val="00140130"/>
    <w:rsid w:val="00140758"/>
    <w:rsid w:val="001434E6"/>
    <w:rsid w:val="00145075"/>
    <w:rsid w:val="00145E81"/>
    <w:rsid w:val="00153348"/>
    <w:rsid w:val="00153844"/>
    <w:rsid w:val="00153C1D"/>
    <w:rsid w:val="001610D0"/>
    <w:rsid w:val="00162BE6"/>
    <w:rsid w:val="00162F06"/>
    <w:rsid w:val="00163DDD"/>
    <w:rsid w:val="00166A67"/>
    <w:rsid w:val="001741A0"/>
    <w:rsid w:val="00175FA0"/>
    <w:rsid w:val="00183616"/>
    <w:rsid w:val="001912A5"/>
    <w:rsid w:val="00193E0C"/>
    <w:rsid w:val="00194CD0"/>
    <w:rsid w:val="00197620"/>
    <w:rsid w:val="001A010B"/>
    <w:rsid w:val="001A0627"/>
    <w:rsid w:val="001A3BC4"/>
    <w:rsid w:val="001B063F"/>
    <w:rsid w:val="001B49C9"/>
    <w:rsid w:val="001B6DAF"/>
    <w:rsid w:val="001C0ACA"/>
    <w:rsid w:val="001C26C0"/>
    <w:rsid w:val="001C467F"/>
    <w:rsid w:val="001C4F79"/>
    <w:rsid w:val="001C5BDB"/>
    <w:rsid w:val="001C6DD7"/>
    <w:rsid w:val="001D1FCA"/>
    <w:rsid w:val="001D3A94"/>
    <w:rsid w:val="001D6012"/>
    <w:rsid w:val="001E22B7"/>
    <w:rsid w:val="001E3E51"/>
    <w:rsid w:val="001F168B"/>
    <w:rsid w:val="001F2530"/>
    <w:rsid w:val="001F2A0C"/>
    <w:rsid w:val="001F39E8"/>
    <w:rsid w:val="001F3D5E"/>
    <w:rsid w:val="001F671B"/>
    <w:rsid w:val="001F7831"/>
    <w:rsid w:val="00200EE0"/>
    <w:rsid w:val="00202876"/>
    <w:rsid w:val="00204045"/>
    <w:rsid w:val="00206727"/>
    <w:rsid w:val="0020712B"/>
    <w:rsid w:val="00212FB0"/>
    <w:rsid w:val="00214BD3"/>
    <w:rsid w:val="0021664E"/>
    <w:rsid w:val="002218C5"/>
    <w:rsid w:val="00221FE3"/>
    <w:rsid w:val="0022606D"/>
    <w:rsid w:val="00231728"/>
    <w:rsid w:val="002334FD"/>
    <w:rsid w:val="00233C1A"/>
    <w:rsid w:val="002359DA"/>
    <w:rsid w:val="00237CA9"/>
    <w:rsid w:val="00237FF5"/>
    <w:rsid w:val="00246343"/>
    <w:rsid w:val="00250BD0"/>
    <w:rsid w:val="00250D15"/>
    <w:rsid w:val="00253724"/>
    <w:rsid w:val="00255ABB"/>
    <w:rsid w:val="002610D8"/>
    <w:rsid w:val="00261D26"/>
    <w:rsid w:val="00263E5C"/>
    <w:rsid w:val="002705D0"/>
    <w:rsid w:val="002747EC"/>
    <w:rsid w:val="00280F8E"/>
    <w:rsid w:val="00283741"/>
    <w:rsid w:val="00283E5C"/>
    <w:rsid w:val="002855BF"/>
    <w:rsid w:val="0029324C"/>
    <w:rsid w:val="00295D82"/>
    <w:rsid w:val="002968AA"/>
    <w:rsid w:val="00296A0A"/>
    <w:rsid w:val="002A0FA3"/>
    <w:rsid w:val="002B0CCF"/>
    <w:rsid w:val="002B7944"/>
    <w:rsid w:val="002C55F5"/>
    <w:rsid w:val="002D19E1"/>
    <w:rsid w:val="002D1D52"/>
    <w:rsid w:val="002D215B"/>
    <w:rsid w:val="002D5F48"/>
    <w:rsid w:val="002D6456"/>
    <w:rsid w:val="002E00F0"/>
    <w:rsid w:val="002E25B0"/>
    <w:rsid w:val="002E317F"/>
    <w:rsid w:val="002F0D22"/>
    <w:rsid w:val="002F0F1F"/>
    <w:rsid w:val="002F76C6"/>
    <w:rsid w:val="0030263B"/>
    <w:rsid w:val="00303270"/>
    <w:rsid w:val="00305587"/>
    <w:rsid w:val="00310CB1"/>
    <w:rsid w:val="00313DD7"/>
    <w:rsid w:val="00316EF8"/>
    <w:rsid w:val="003172DC"/>
    <w:rsid w:val="00317A9A"/>
    <w:rsid w:val="003205B7"/>
    <w:rsid w:val="003228AD"/>
    <w:rsid w:val="00323BAA"/>
    <w:rsid w:val="00325AE3"/>
    <w:rsid w:val="00325EA1"/>
    <w:rsid w:val="00326069"/>
    <w:rsid w:val="00327D0A"/>
    <w:rsid w:val="00330A0B"/>
    <w:rsid w:val="00330F24"/>
    <w:rsid w:val="003317EE"/>
    <w:rsid w:val="0033484D"/>
    <w:rsid w:val="00337D9B"/>
    <w:rsid w:val="003442E6"/>
    <w:rsid w:val="0035462D"/>
    <w:rsid w:val="00354FBE"/>
    <w:rsid w:val="00356164"/>
    <w:rsid w:val="00360111"/>
    <w:rsid w:val="00362878"/>
    <w:rsid w:val="00364B41"/>
    <w:rsid w:val="00372025"/>
    <w:rsid w:val="003817FF"/>
    <w:rsid w:val="00381D38"/>
    <w:rsid w:val="0038512A"/>
    <w:rsid w:val="00392DE8"/>
    <w:rsid w:val="00393360"/>
    <w:rsid w:val="003A296A"/>
    <w:rsid w:val="003A3C2C"/>
    <w:rsid w:val="003A41EF"/>
    <w:rsid w:val="003B0EEF"/>
    <w:rsid w:val="003B240B"/>
    <w:rsid w:val="003B2A2A"/>
    <w:rsid w:val="003B40AD"/>
    <w:rsid w:val="003B418A"/>
    <w:rsid w:val="003B53E2"/>
    <w:rsid w:val="003B5FEA"/>
    <w:rsid w:val="003C0108"/>
    <w:rsid w:val="003C1502"/>
    <w:rsid w:val="003C1A0E"/>
    <w:rsid w:val="003C4E37"/>
    <w:rsid w:val="003D2077"/>
    <w:rsid w:val="003D4501"/>
    <w:rsid w:val="003E1261"/>
    <w:rsid w:val="003E16BE"/>
    <w:rsid w:val="003E2119"/>
    <w:rsid w:val="003E24D7"/>
    <w:rsid w:val="003E2682"/>
    <w:rsid w:val="003E2B45"/>
    <w:rsid w:val="003E4037"/>
    <w:rsid w:val="003E50A0"/>
    <w:rsid w:val="003E6958"/>
    <w:rsid w:val="003E7387"/>
    <w:rsid w:val="003F0E70"/>
    <w:rsid w:val="003F1057"/>
    <w:rsid w:val="003F2619"/>
    <w:rsid w:val="003F42D4"/>
    <w:rsid w:val="003F4BA3"/>
    <w:rsid w:val="003F4E28"/>
    <w:rsid w:val="004006E8"/>
    <w:rsid w:val="00401855"/>
    <w:rsid w:val="00405E79"/>
    <w:rsid w:val="00407274"/>
    <w:rsid w:val="00407C8F"/>
    <w:rsid w:val="00410BCA"/>
    <w:rsid w:val="00411D61"/>
    <w:rsid w:val="00415A22"/>
    <w:rsid w:val="004176F8"/>
    <w:rsid w:val="004212EF"/>
    <w:rsid w:val="004224F8"/>
    <w:rsid w:val="004249B8"/>
    <w:rsid w:val="00427A4E"/>
    <w:rsid w:val="00432F99"/>
    <w:rsid w:val="0043371B"/>
    <w:rsid w:val="00433CFB"/>
    <w:rsid w:val="0043423D"/>
    <w:rsid w:val="00436F3E"/>
    <w:rsid w:val="00440681"/>
    <w:rsid w:val="004409F0"/>
    <w:rsid w:val="004413A7"/>
    <w:rsid w:val="0044363C"/>
    <w:rsid w:val="00446A33"/>
    <w:rsid w:val="004501FA"/>
    <w:rsid w:val="004512BD"/>
    <w:rsid w:val="00451C92"/>
    <w:rsid w:val="00452B6C"/>
    <w:rsid w:val="00455456"/>
    <w:rsid w:val="00461F90"/>
    <w:rsid w:val="00464425"/>
    <w:rsid w:val="00471F31"/>
    <w:rsid w:val="0047699B"/>
    <w:rsid w:val="00477455"/>
    <w:rsid w:val="00482723"/>
    <w:rsid w:val="00482850"/>
    <w:rsid w:val="00483FA8"/>
    <w:rsid w:val="00484B62"/>
    <w:rsid w:val="00492FB7"/>
    <w:rsid w:val="00494CF6"/>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80D"/>
    <w:rsid w:val="004D5A8E"/>
    <w:rsid w:val="004E1FEA"/>
    <w:rsid w:val="004E213A"/>
    <w:rsid w:val="004E40CD"/>
    <w:rsid w:val="00503171"/>
    <w:rsid w:val="00506C28"/>
    <w:rsid w:val="00510176"/>
    <w:rsid w:val="00512660"/>
    <w:rsid w:val="00512CA7"/>
    <w:rsid w:val="00513642"/>
    <w:rsid w:val="0051627F"/>
    <w:rsid w:val="00517C98"/>
    <w:rsid w:val="00525C9F"/>
    <w:rsid w:val="00527128"/>
    <w:rsid w:val="00534300"/>
    <w:rsid w:val="00534DA0"/>
    <w:rsid w:val="005362D5"/>
    <w:rsid w:val="00537CAD"/>
    <w:rsid w:val="00541BC2"/>
    <w:rsid w:val="00543E6C"/>
    <w:rsid w:val="00545BD9"/>
    <w:rsid w:val="005502AE"/>
    <w:rsid w:val="00552D69"/>
    <w:rsid w:val="00560B74"/>
    <w:rsid w:val="005631C2"/>
    <w:rsid w:val="00563AEF"/>
    <w:rsid w:val="00563C92"/>
    <w:rsid w:val="00565087"/>
    <w:rsid w:val="0056573F"/>
    <w:rsid w:val="0056638C"/>
    <w:rsid w:val="00570FDE"/>
    <w:rsid w:val="00572F1C"/>
    <w:rsid w:val="005841A9"/>
    <w:rsid w:val="0059143D"/>
    <w:rsid w:val="00594520"/>
    <w:rsid w:val="005A05E7"/>
    <w:rsid w:val="005A2265"/>
    <w:rsid w:val="005A2E40"/>
    <w:rsid w:val="005A4716"/>
    <w:rsid w:val="005A53BA"/>
    <w:rsid w:val="005A54C6"/>
    <w:rsid w:val="005A5625"/>
    <w:rsid w:val="005A7CDD"/>
    <w:rsid w:val="005B3FB8"/>
    <w:rsid w:val="005B6FC5"/>
    <w:rsid w:val="005C6847"/>
    <w:rsid w:val="005D0DD0"/>
    <w:rsid w:val="005D36A1"/>
    <w:rsid w:val="005D7306"/>
    <w:rsid w:val="005E2FF7"/>
    <w:rsid w:val="005E43F5"/>
    <w:rsid w:val="005F0BBB"/>
    <w:rsid w:val="005F127F"/>
    <w:rsid w:val="005F3B2A"/>
    <w:rsid w:val="005F48D4"/>
    <w:rsid w:val="00601032"/>
    <w:rsid w:val="00603263"/>
    <w:rsid w:val="00604CCC"/>
    <w:rsid w:val="00606696"/>
    <w:rsid w:val="0060683E"/>
    <w:rsid w:val="00607FA2"/>
    <w:rsid w:val="00611566"/>
    <w:rsid w:val="006150A0"/>
    <w:rsid w:val="00622DC4"/>
    <w:rsid w:val="00630529"/>
    <w:rsid w:val="00632ACB"/>
    <w:rsid w:val="006346C7"/>
    <w:rsid w:val="00634706"/>
    <w:rsid w:val="00634F25"/>
    <w:rsid w:val="006407DB"/>
    <w:rsid w:val="00642B9D"/>
    <w:rsid w:val="00646D99"/>
    <w:rsid w:val="006520A1"/>
    <w:rsid w:val="00656910"/>
    <w:rsid w:val="006577FB"/>
    <w:rsid w:val="006606C4"/>
    <w:rsid w:val="006649EC"/>
    <w:rsid w:val="00664FEB"/>
    <w:rsid w:val="006728CE"/>
    <w:rsid w:val="0067501B"/>
    <w:rsid w:val="0067518E"/>
    <w:rsid w:val="00675568"/>
    <w:rsid w:val="00680135"/>
    <w:rsid w:val="00680537"/>
    <w:rsid w:val="006831CA"/>
    <w:rsid w:val="006877B6"/>
    <w:rsid w:val="00687B05"/>
    <w:rsid w:val="0069055A"/>
    <w:rsid w:val="006977EE"/>
    <w:rsid w:val="006A3AAC"/>
    <w:rsid w:val="006A5282"/>
    <w:rsid w:val="006A56A0"/>
    <w:rsid w:val="006A7A2A"/>
    <w:rsid w:val="006B3F85"/>
    <w:rsid w:val="006B5324"/>
    <w:rsid w:val="006B62BD"/>
    <w:rsid w:val="006C1C1D"/>
    <w:rsid w:val="006C3929"/>
    <w:rsid w:val="006C66D8"/>
    <w:rsid w:val="006C77C9"/>
    <w:rsid w:val="006D0B63"/>
    <w:rsid w:val="006D1E24"/>
    <w:rsid w:val="006D3E01"/>
    <w:rsid w:val="006D5076"/>
    <w:rsid w:val="006D56A2"/>
    <w:rsid w:val="006E1417"/>
    <w:rsid w:val="006E1AF9"/>
    <w:rsid w:val="006E206B"/>
    <w:rsid w:val="006E24F9"/>
    <w:rsid w:val="006E6B13"/>
    <w:rsid w:val="006F6A2C"/>
    <w:rsid w:val="006F72B2"/>
    <w:rsid w:val="00703EDA"/>
    <w:rsid w:val="00710201"/>
    <w:rsid w:val="0071205A"/>
    <w:rsid w:val="007121F0"/>
    <w:rsid w:val="00713939"/>
    <w:rsid w:val="007145B2"/>
    <w:rsid w:val="0071730A"/>
    <w:rsid w:val="00726793"/>
    <w:rsid w:val="00727847"/>
    <w:rsid w:val="007342B5"/>
    <w:rsid w:val="00734A5B"/>
    <w:rsid w:val="007353E2"/>
    <w:rsid w:val="007357FB"/>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23D3"/>
    <w:rsid w:val="00786DC3"/>
    <w:rsid w:val="0078727C"/>
    <w:rsid w:val="0079049D"/>
    <w:rsid w:val="00791F23"/>
    <w:rsid w:val="00793749"/>
    <w:rsid w:val="00793DC5"/>
    <w:rsid w:val="007A0D32"/>
    <w:rsid w:val="007A76B3"/>
    <w:rsid w:val="007A773E"/>
    <w:rsid w:val="007B18D8"/>
    <w:rsid w:val="007B55D5"/>
    <w:rsid w:val="007C095F"/>
    <w:rsid w:val="007C0E00"/>
    <w:rsid w:val="007C206C"/>
    <w:rsid w:val="007C26C6"/>
    <w:rsid w:val="007C2DD0"/>
    <w:rsid w:val="007C370E"/>
    <w:rsid w:val="007C4460"/>
    <w:rsid w:val="007C5CA9"/>
    <w:rsid w:val="007C7250"/>
    <w:rsid w:val="007D1649"/>
    <w:rsid w:val="007D5A3A"/>
    <w:rsid w:val="007D7806"/>
    <w:rsid w:val="007E3E29"/>
    <w:rsid w:val="007E7057"/>
    <w:rsid w:val="007F6CB6"/>
    <w:rsid w:val="007F6FF4"/>
    <w:rsid w:val="00800D2C"/>
    <w:rsid w:val="008028A4"/>
    <w:rsid w:val="008050E0"/>
    <w:rsid w:val="00806655"/>
    <w:rsid w:val="00806BCC"/>
    <w:rsid w:val="00813245"/>
    <w:rsid w:val="0081615D"/>
    <w:rsid w:val="00816A45"/>
    <w:rsid w:val="00816A8C"/>
    <w:rsid w:val="008171E6"/>
    <w:rsid w:val="008203FE"/>
    <w:rsid w:val="00821C65"/>
    <w:rsid w:val="0082251E"/>
    <w:rsid w:val="00823BE5"/>
    <w:rsid w:val="00826B42"/>
    <w:rsid w:val="008307EB"/>
    <w:rsid w:val="0083340C"/>
    <w:rsid w:val="00834329"/>
    <w:rsid w:val="00840DF3"/>
    <w:rsid w:val="00841E8B"/>
    <w:rsid w:val="0084483F"/>
    <w:rsid w:val="00844AF2"/>
    <w:rsid w:val="00846FAE"/>
    <w:rsid w:val="008503D8"/>
    <w:rsid w:val="00855B5A"/>
    <w:rsid w:val="00860877"/>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9429B"/>
    <w:rsid w:val="00894776"/>
    <w:rsid w:val="00895782"/>
    <w:rsid w:val="00897055"/>
    <w:rsid w:val="008A1B05"/>
    <w:rsid w:val="008B3CC9"/>
    <w:rsid w:val="008B5306"/>
    <w:rsid w:val="008C74B1"/>
    <w:rsid w:val="008D08CB"/>
    <w:rsid w:val="008D0F21"/>
    <w:rsid w:val="008D1BEC"/>
    <w:rsid w:val="008D29CC"/>
    <w:rsid w:val="008D2E4D"/>
    <w:rsid w:val="008D3E4A"/>
    <w:rsid w:val="008D446F"/>
    <w:rsid w:val="008E00FF"/>
    <w:rsid w:val="008E41D4"/>
    <w:rsid w:val="008E4BC7"/>
    <w:rsid w:val="008E4E9B"/>
    <w:rsid w:val="008F0E42"/>
    <w:rsid w:val="008F1893"/>
    <w:rsid w:val="008F396F"/>
    <w:rsid w:val="008F5FBA"/>
    <w:rsid w:val="0090271F"/>
    <w:rsid w:val="00902DB9"/>
    <w:rsid w:val="00902E8C"/>
    <w:rsid w:val="0090466A"/>
    <w:rsid w:val="009066F9"/>
    <w:rsid w:val="00911238"/>
    <w:rsid w:val="00912F37"/>
    <w:rsid w:val="00916508"/>
    <w:rsid w:val="009178EF"/>
    <w:rsid w:val="00927F51"/>
    <w:rsid w:val="009330E0"/>
    <w:rsid w:val="009344F5"/>
    <w:rsid w:val="00934EB9"/>
    <w:rsid w:val="00934FC0"/>
    <w:rsid w:val="00936071"/>
    <w:rsid w:val="0093685D"/>
    <w:rsid w:val="00936AE5"/>
    <w:rsid w:val="009375C5"/>
    <w:rsid w:val="00940212"/>
    <w:rsid w:val="009417B8"/>
    <w:rsid w:val="0094292E"/>
    <w:rsid w:val="00942EC2"/>
    <w:rsid w:val="009432BC"/>
    <w:rsid w:val="009439B2"/>
    <w:rsid w:val="00944967"/>
    <w:rsid w:val="00946DEB"/>
    <w:rsid w:val="0095157A"/>
    <w:rsid w:val="00952E67"/>
    <w:rsid w:val="00954AF8"/>
    <w:rsid w:val="00961B32"/>
    <w:rsid w:val="00963488"/>
    <w:rsid w:val="0096424B"/>
    <w:rsid w:val="00966691"/>
    <w:rsid w:val="00966DEB"/>
    <w:rsid w:val="00966E30"/>
    <w:rsid w:val="00970DB3"/>
    <w:rsid w:val="0097132B"/>
    <w:rsid w:val="00974BB0"/>
    <w:rsid w:val="009765D0"/>
    <w:rsid w:val="0097674C"/>
    <w:rsid w:val="00980285"/>
    <w:rsid w:val="00982CDF"/>
    <w:rsid w:val="00984843"/>
    <w:rsid w:val="00984F6F"/>
    <w:rsid w:val="00986AC6"/>
    <w:rsid w:val="009970D2"/>
    <w:rsid w:val="009A0AF3"/>
    <w:rsid w:val="009A4AED"/>
    <w:rsid w:val="009A4FB7"/>
    <w:rsid w:val="009A4FF9"/>
    <w:rsid w:val="009B07CD"/>
    <w:rsid w:val="009B19F2"/>
    <w:rsid w:val="009B2D7B"/>
    <w:rsid w:val="009B337E"/>
    <w:rsid w:val="009B3884"/>
    <w:rsid w:val="009B5D9A"/>
    <w:rsid w:val="009B7000"/>
    <w:rsid w:val="009B7011"/>
    <w:rsid w:val="009B7121"/>
    <w:rsid w:val="009C19E9"/>
    <w:rsid w:val="009C2476"/>
    <w:rsid w:val="009C2C22"/>
    <w:rsid w:val="009C3546"/>
    <w:rsid w:val="009D1C1E"/>
    <w:rsid w:val="009D2097"/>
    <w:rsid w:val="009D2F38"/>
    <w:rsid w:val="009D41FB"/>
    <w:rsid w:val="009D600B"/>
    <w:rsid w:val="009D74A6"/>
    <w:rsid w:val="009D7A04"/>
    <w:rsid w:val="009E0339"/>
    <w:rsid w:val="009E5999"/>
    <w:rsid w:val="009F18B0"/>
    <w:rsid w:val="009F2D07"/>
    <w:rsid w:val="00A0318F"/>
    <w:rsid w:val="00A10F02"/>
    <w:rsid w:val="00A1115F"/>
    <w:rsid w:val="00A12D6A"/>
    <w:rsid w:val="00A151EB"/>
    <w:rsid w:val="00A204CA"/>
    <w:rsid w:val="00A235EB"/>
    <w:rsid w:val="00A2423B"/>
    <w:rsid w:val="00A26B05"/>
    <w:rsid w:val="00A31E01"/>
    <w:rsid w:val="00A34340"/>
    <w:rsid w:val="00A351EC"/>
    <w:rsid w:val="00A35482"/>
    <w:rsid w:val="00A40340"/>
    <w:rsid w:val="00A45552"/>
    <w:rsid w:val="00A47F8C"/>
    <w:rsid w:val="00A50A8B"/>
    <w:rsid w:val="00A53724"/>
    <w:rsid w:val="00A5665B"/>
    <w:rsid w:val="00A568AE"/>
    <w:rsid w:val="00A64183"/>
    <w:rsid w:val="00A6488F"/>
    <w:rsid w:val="00A7114B"/>
    <w:rsid w:val="00A72676"/>
    <w:rsid w:val="00A73AC5"/>
    <w:rsid w:val="00A76041"/>
    <w:rsid w:val="00A76D58"/>
    <w:rsid w:val="00A82082"/>
    <w:rsid w:val="00A82346"/>
    <w:rsid w:val="00A83DB3"/>
    <w:rsid w:val="00A85AB8"/>
    <w:rsid w:val="00A9185A"/>
    <w:rsid w:val="00A9240E"/>
    <w:rsid w:val="00A94EB8"/>
    <w:rsid w:val="00A9671C"/>
    <w:rsid w:val="00AA1553"/>
    <w:rsid w:val="00AA6373"/>
    <w:rsid w:val="00AA697F"/>
    <w:rsid w:val="00AB4710"/>
    <w:rsid w:val="00AB7714"/>
    <w:rsid w:val="00AC3917"/>
    <w:rsid w:val="00AD5F89"/>
    <w:rsid w:val="00AD793D"/>
    <w:rsid w:val="00AE2112"/>
    <w:rsid w:val="00AE4679"/>
    <w:rsid w:val="00AF1675"/>
    <w:rsid w:val="00AF199D"/>
    <w:rsid w:val="00AF5CC7"/>
    <w:rsid w:val="00AF6889"/>
    <w:rsid w:val="00AF6C5D"/>
    <w:rsid w:val="00B00B26"/>
    <w:rsid w:val="00B05962"/>
    <w:rsid w:val="00B06A8A"/>
    <w:rsid w:val="00B07C77"/>
    <w:rsid w:val="00B15449"/>
    <w:rsid w:val="00B15949"/>
    <w:rsid w:val="00B20AC6"/>
    <w:rsid w:val="00B228F7"/>
    <w:rsid w:val="00B25010"/>
    <w:rsid w:val="00B25A74"/>
    <w:rsid w:val="00B26CA9"/>
    <w:rsid w:val="00B26F27"/>
    <w:rsid w:val="00B27303"/>
    <w:rsid w:val="00B31101"/>
    <w:rsid w:val="00B32B92"/>
    <w:rsid w:val="00B34629"/>
    <w:rsid w:val="00B35218"/>
    <w:rsid w:val="00B40CB4"/>
    <w:rsid w:val="00B40D16"/>
    <w:rsid w:val="00B43B65"/>
    <w:rsid w:val="00B44DD2"/>
    <w:rsid w:val="00B4646F"/>
    <w:rsid w:val="00B4753E"/>
    <w:rsid w:val="00B47FD1"/>
    <w:rsid w:val="00B516BB"/>
    <w:rsid w:val="00B54FCB"/>
    <w:rsid w:val="00B568FD"/>
    <w:rsid w:val="00B5736A"/>
    <w:rsid w:val="00B6026F"/>
    <w:rsid w:val="00B706CD"/>
    <w:rsid w:val="00B76AB1"/>
    <w:rsid w:val="00B76E87"/>
    <w:rsid w:val="00B81C73"/>
    <w:rsid w:val="00B840DA"/>
    <w:rsid w:val="00B90649"/>
    <w:rsid w:val="00B91A33"/>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19C"/>
    <w:rsid w:val="00BD4333"/>
    <w:rsid w:val="00BE031B"/>
    <w:rsid w:val="00BE2478"/>
    <w:rsid w:val="00BE4268"/>
    <w:rsid w:val="00BE512D"/>
    <w:rsid w:val="00BF2586"/>
    <w:rsid w:val="00BF629E"/>
    <w:rsid w:val="00BF6596"/>
    <w:rsid w:val="00C015B5"/>
    <w:rsid w:val="00C019C0"/>
    <w:rsid w:val="00C04CD9"/>
    <w:rsid w:val="00C05B5E"/>
    <w:rsid w:val="00C10D08"/>
    <w:rsid w:val="00C10D49"/>
    <w:rsid w:val="00C12B51"/>
    <w:rsid w:val="00C132A5"/>
    <w:rsid w:val="00C1497E"/>
    <w:rsid w:val="00C2453E"/>
    <w:rsid w:val="00C24650"/>
    <w:rsid w:val="00C27634"/>
    <w:rsid w:val="00C31BA3"/>
    <w:rsid w:val="00C31EFB"/>
    <w:rsid w:val="00C33079"/>
    <w:rsid w:val="00C34CC6"/>
    <w:rsid w:val="00C34E73"/>
    <w:rsid w:val="00C3548B"/>
    <w:rsid w:val="00C40309"/>
    <w:rsid w:val="00C418B7"/>
    <w:rsid w:val="00C41AFF"/>
    <w:rsid w:val="00C46603"/>
    <w:rsid w:val="00C52334"/>
    <w:rsid w:val="00C55079"/>
    <w:rsid w:val="00C5681A"/>
    <w:rsid w:val="00C639BE"/>
    <w:rsid w:val="00C709B6"/>
    <w:rsid w:val="00C71BAC"/>
    <w:rsid w:val="00C7345E"/>
    <w:rsid w:val="00C73605"/>
    <w:rsid w:val="00C73CFF"/>
    <w:rsid w:val="00C74537"/>
    <w:rsid w:val="00C826CF"/>
    <w:rsid w:val="00C82B37"/>
    <w:rsid w:val="00C83A13"/>
    <w:rsid w:val="00C864F5"/>
    <w:rsid w:val="00C9068C"/>
    <w:rsid w:val="00C90ED5"/>
    <w:rsid w:val="00C91034"/>
    <w:rsid w:val="00C92967"/>
    <w:rsid w:val="00C93A18"/>
    <w:rsid w:val="00C9650D"/>
    <w:rsid w:val="00C97417"/>
    <w:rsid w:val="00CA3D0C"/>
    <w:rsid w:val="00CA654B"/>
    <w:rsid w:val="00CA7962"/>
    <w:rsid w:val="00CB2169"/>
    <w:rsid w:val="00CB37A6"/>
    <w:rsid w:val="00CB5D92"/>
    <w:rsid w:val="00CB6A74"/>
    <w:rsid w:val="00CB6F5B"/>
    <w:rsid w:val="00CD117E"/>
    <w:rsid w:val="00CD4C7B"/>
    <w:rsid w:val="00CD5795"/>
    <w:rsid w:val="00CD7707"/>
    <w:rsid w:val="00CE1681"/>
    <w:rsid w:val="00CE29EF"/>
    <w:rsid w:val="00CE2CEE"/>
    <w:rsid w:val="00CE3230"/>
    <w:rsid w:val="00CE5D7F"/>
    <w:rsid w:val="00CE6889"/>
    <w:rsid w:val="00CE75DF"/>
    <w:rsid w:val="00CE7ABA"/>
    <w:rsid w:val="00CF3640"/>
    <w:rsid w:val="00D05935"/>
    <w:rsid w:val="00D10707"/>
    <w:rsid w:val="00D1188D"/>
    <w:rsid w:val="00D145BC"/>
    <w:rsid w:val="00D1632C"/>
    <w:rsid w:val="00D17979"/>
    <w:rsid w:val="00D24D6A"/>
    <w:rsid w:val="00D2617D"/>
    <w:rsid w:val="00D26182"/>
    <w:rsid w:val="00D3050D"/>
    <w:rsid w:val="00D31234"/>
    <w:rsid w:val="00D31C30"/>
    <w:rsid w:val="00D32476"/>
    <w:rsid w:val="00D33BE3"/>
    <w:rsid w:val="00D36096"/>
    <w:rsid w:val="00D3792D"/>
    <w:rsid w:val="00D37F6C"/>
    <w:rsid w:val="00D40C2E"/>
    <w:rsid w:val="00D43A23"/>
    <w:rsid w:val="00D46373"/>
    <w:rsid w:val="00D4691D"/>
    <w:rsid w:val="00D47E35"/>
    <w:rsid w:val="00D504CD"/>
    <w:rsid w:val="00D53B01"/>
    <w:rsid w:val="00D53FE0"/>
    <w:rsid w:val="00D55E47"/>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F3F"/>
    <w:rsid w:val="00D854BE"/>
    <w:rsid w:val="00D87E00"/>
    <w:rsid w:val="00D90DD0"/>
    <w:rsid w:val="00D9134D"/>
    <w:rsid w:val="00D916EA"/>
    <w:rsid w:val="00D9403B"/>
    <w:rsid w:val="00D96D11"/>
    <w:rsid w:val="00DA0591"/>
    <w:rsid w:val="00DA0B9E"/>
    <w:rsid w:val="00DA48EA"/>
    <w:rsid w:val="00DA5157"/>
    <w:rsid w:val="00DA5F0A"/>
    <w:rsid w:val="00DA7A03"/>
    <w:rsid w:val="00DB0427"/>
    <w:rsid w:val="00DB0DB8"/>
    <w:rsid w:val="00DB1818"/>
    <w:rsid w:val="00DB42E7"/>
    <w:rsid w:val="00DB51E7"/>
    <w:rsid w:val="00DC04F9"/>
    <w:rsid w:val="00DC08C5"/>
    <w:rsid w:val="00DC1E72"/>
    <w:rsid w:val="00DC309B"/>
    <w:rsid w:val="00DC4DA2"/>
    <w:rsid w:val="00DD3638"/>
    <w:rsid w:val="00DE2EDA"/>
    <w:rsid w:val="00DE321C"/>
    <w:rsid w:val="00DE664A"/>
    <w:rsid w:val="00DF08BC"/>
    <w:rsid w:val="00DF3416"/>
    <w:rsid w:val="00DF3511"/>
    <w:rsid w:val="00DF4378"/>
    <w:rsid w:val="00DF69B8"/>
    <w:rsid w:val="00E05C7C"/>
    <w:rsid w:val="00E06BE0"/>
    <w:rsid w:val="00E07D0B"/>
    <w:rsid w:val="00E114CF"/>
    <w:rsid w:val="00E11A41"/>
    <w:rsid w:val="00E12597"/>
    <w:rsid w:val="00E14F1B"/>
    <w:rsid w:val="00E17D6C"/>
    <w:rsid w:val="00E2155D"/>
    <w:rsid w:val="00E36531"/>
    <w:rsid w:val="00E41BBF"/>
    <w:rsid w:val="00E428AC"/>
    <w:rsid w:val="00E429B9"/>
    <w:rsid w:val="00E44041"/>
    <w:rsid w:val="00E45918"/>
    <w:rsid w:val="00E46E90"/>
    <w:rsid w:val="00E471CF"/>
    <w:rsid w:val="00E47D85"/>
    <w:rsid w:val="00E50B8A"/>
    <w:rsid w:val="00E53CA3"/>
    <w:rsid w:val="00E54510"/>
    <w:rsid w:val="00E56643"/>
    <w:rsid w:val="00E569D6"/>
    <w:rsid w:val="00E56FD9"/>
    <w:rsid w:val="00E62835"/>
    <w:rsid w:val="00E70886"/>
    <w:rsid w:val="00E77645"/>
    <w:rsid w:val="00E7764A"/>
    <w:rsid w:val="00E818D8"/>
    <w:rsid w:val="00E82E1E"/>
    <w:rsid w:val="00E83697"/>
    <w:rsid w:val="00E83E6A"/>
    <w:rsid w:val="00E97623"/>
    <w:rsid w:val="00EA1721"/>
    <w:rsid w:val="00EA1FA4"/>
    <w:rsid w:val="00EA3AB0"/>
    <w:rsid w:val="00EA3AD9"/>
    <w:rsid w:val="00EA58F7"/>
    <w:rsid w:val="00EA65CB"/>
    <w:rsid w:val="00EB0AF6"/>
    <w:rsid w:val="00EB4383"/>
    <w:rsid w:val="00EB4DD7"/>
    <w:rsid w:val="00EC023D"/>
    <w:rsid w:val="00EC1527"/>
    <w:rsid w:val="00EC404A"/>
    <w:rsid w:val="00EC4A25"/>
    <w:rsid w:val="00EC7720"/>
    <w:rsid w:val="00ED1E19"/>
    <w:rsid w:val="00ED2561"/>
    <w:rsid w:val="00ED45BC"/>
    <w:rsid w:val="00ED602D"/>
    <w:rsid w:val="00ED6037"/>
    <w:rsid w:val="00EE0160"/>
    <w:rsid w:val="00EE5772"/>
    <w:rsid w:val="00EF2481"/>
    <w:rsid w:val="00EF31F5"/>
    <w:rsid w:val="00EF65E9"/>
    <w:rsid w:val="00F013C5"/>
    <w:rsid w:val="00F025A2"/>
    <w:rsid w:val="00F03B62"/>
    <w:rsid w:val="00F04CF5"/>
    <w:rsid w:val="00F0501F"/>
    <w:rsid w:val="00F07388"/>
    <w:rsid w:val="00F07E60"/>
    <w:rsid w:val="00F10B28"/>
    <w:rsid w:val="00F13B63"/>
    <w:rsid w:val="00F2026E"/>
    <w:rsid w:val="00F21208"/>
    <w:rsid w:val="00F2210A"/>
    <w:rsid w:val="00F23F84"/>
    <w:rsid w:val="00F2435A"/>
    <w:rsid w:val="00F258E8"/>
    <w:rsid w:val="00F27EC4"/>
    <w:rsid w:val="00F34BBB"/>
    <w:rsid w:val="00F37063"/>
    <w:rsid w:val="00F37743"/>
    <w:rsid w:val="00F41B4E"/>
    <w:rsid w:val="00F4250A"/>
    <w:rsid w:val="00F44AFE"/>
    <w:rsid w:val="00F50CF2"/>
    <w:rsid w:val="00F5196E"/>
    <w:rsid w:val="00F521E9"/>
    <w:rsid w:val="00F530E9"/>
    <w:rsid w:val="00F535E2"/>
    <w:rsid w:val="00F54A3D"/>
    <w:rsid w:val="00F54CB0"/>
    <w:rsid w:val="00F56A5A"/>
    <w:rsid w:val="00F56CA9"/>
    <w:rsid w:val="00F653B8"/>
    <w:rsid w:val="00F71B89"/>
    <w:rsid w:val="00F71D1E"/>
    <w:rsid w:val="00F71F52"/>
    <w:rsid w:val="00F7353C"/>
    <w:rsid w:val="00F76F8F"/>
    <w:rsid w:val="00F85AE7"/>
    <w:rsid w:val="00F92010"/>
    <w:rsid w:val="00F9324A"/>
    <w:rsid w:val="00F941DF"/>
    <w:rsid w:val="00FA1266"/>
    <w:rsid w:val="00FA2A51"/>
    <w:rsid w:val="00FA2AFC"/>
    <w:rsid w:val="00FA30C4"/>
    <w:rsid w:val="00FA66E4"/>
    <w:rsid w:val="00FB0ECE"/>
    <w:rsid w:val="00FB36FA"/>
    <w:rsid w:val="00FB6874"/>
    <w:rsid w:val="00FB6AE2"/>
    <w:rsid w:val="00FC1192"/>
    <w:rsid w:val="00FC5DFE"/>
    <w:rsid w:val="00FC640D"/>
    <w:rsid w:val="00FD28B7"/>
    <w:rsid w:val="00FD2F69"/>
    <w:rsid w:val="00FD7243"/>
    <w:rsid w:val="00FE1533"/>
    <w:rsid w:val="00FE251B"/>
    <w:rsid w:val="00FE3433"/>
    <w:rsid w:val="00FE4EAC"/>
    <w:rsid w:val="00FE65FC"/>
    <w:rsid w:val="00FF2081"/>
    <w:rsid w:val="00FF26B8"/>
    <w:rsid w:val="00FF45C1"/>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8389BB-4D30-4A4A-B043-23FB51080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108</TotalTime>
  <Pages>4</Pages>
  <Words>1457</Words>
  <Characters>8307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Fasil Abdul Latheef/Modem Commercialization /SRI-Bangalore/Staff Engineer/삼성전자</cp:lastModifiedBy>
  <cp:revision>43</cp:revision>
  <dcterms:created xsi:type="dcterms:W3CDTF">2019-10-01T12:21:00Z</dcterms:created>
  <dcterms:modified xsi:type="dcterms:W3CDTF">2019-10-04T05:43:00Z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